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74B" w:rsidRDefault="00B9774B">
      <w:pPr>
        <w:rPr>
          <w:lang w:val="uk-UA"/>
        </w:rPr>
      </w:pPr>
    </w:p>
    <w:p w:rsidR="00B9774B" w:rsidRDefault="00B9774B" w:rsidP="00B9774B">
      <w:pPr>
        <w:pStyle w:val="4"/>
        <w:jc w:val="center"/>
        <w:rPr>
          <w:kern w:val="2"/>
          <w:sz w:val="32"/>
          <w:szCs w:val="32"/>
          <w:lang w:val="ru-RU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Pr="005D1817" w:rsidRDefault="00B9774B" w:rsidP="00B9774B">
      <w:pPr>
        <w:rPr>
          <w:lang w:val="uk-UA"/>
        </w:rPr>
      </w:pPr>
    </w:p>
    <w:tbl>
      <w:tblPr>
        <w:tblStyle w:val="a3"/>
        <w:tblpPr w:leftFromText="180" w:rightFromText="180" w:vertAnchor="text" w:horzAnchor="page" w:tblpX="2391" w:tblpY="378"/>
        <w:tblW w:w="0" w:type="auto"/>
        <w:shd w:val="clear" w:color="auto" w:fill="D5F1F7"/>
        <w:tblLook w:val="01E0" w:firstRow="1" w:lastRow="1" w:firstColumn="1" w:lastColumn="1" w:noHBand="0" w:noVBand="0"/>
      </w:tblPr>
      <w:tblGrid>
        <w:gridCol w:w="8100"/>
      </w:tblGrid>
      <w:tr w:rsidR="00B9774B" w:rsidRPr="00002C0F" w:rsidTr="00A606F5">
        <w:trPr>
          <w:trHeight w:val="944"/>
        </w:trPr>
        <w:tc>
          <w:tcPr>
            <w:tcW w:w="8100" w:type="dxa"/>
            <w:shd w:val="clear" w:color="auto" w:fill="D5F1F7"/>
          </w:tcPr>
          <w:p w:rsidR="00B9774B" w:rsidRPr="002B6ABB" w:rsidRDefault="00B9774B" w:rsidP="00D37E6B">
            <w:pPr>
              <w:pStyle w:val="4"/>
              <w:spacing w:after="0"/>
              <w:jc w:val="center"/>
              <w:rPr>
                <w:kern w:val="2"/>
                <w:sz w:val="32"/>
                <w:szCs w:val="32"/>
                <w:lang w:val="en-US"/>
              </w:rPr>
            </w:pPr>
            <w:r>
              <w:rPr>
                <w:kern w:val="2"/>
                <w:sz w:val="32"/>
                <w:szCs w:val="32"/>
                <w:lang w:val="en-US"/>
              </w:rPr>
              <w:t>I</w:t>
            </w:r>
            <w:r w:rsidRPr="002B6ABB">
              <w:rPr>
                <w:kern w:val="2"/>
                <w:sz w:val="32"/>
                <w:szCs w:val="32"/>
                <w:lang w:val="en-US"/>
              </w:rPr>
              <w:t xml:space="preserve">. </w:t>
            </w:r>
            <w:r w:rsidR="00D37E6B">
              <w:rPr>
                <w:kern w:val="2"/>
                <w:sz w:val="32"/>
                <w:szCs w:val="32"/>
                <w:lang w:val="ru-RU"/>
              </w:rPr>
              <w:t>КАПІТАЛЬНІ</w:t>
            </w:r>
            <w:r w:rsidR="00D37E6B" w:rsidRPr="002B6ABB">
              <w:rPr>
                <w:kern w:val="2"/>
                <w:sz w:val="32"/>
                <w:szCs w:val="32"/>
                <w:lang w:val="en-US"/>
              </w:rPr>
              <w:t xml:space="preserve">   </w:t>
            </w:r>
            <w:r w:rsidR="00D64380" w:rsidRPr="002D0B91">
              <w:rPr>
                <w:kern w:val="2"/>
                <w:sz w:val="32"/>
                <w:szCs w:val="32"/>
                <w:lang w:val="ru-RU"/>
              </w:rPr>
              <w:t>ІНВЕСТИЦІЇ</w:t>
            </w:r>
            <w:r w:rsidR="00D64380" w:rsidRPr="002B6ABB">
              <w:rPr>
                <w:kern w:val="2"/>
                <w:sz w:val="32"/>
                <w:szCs w:val="32"/>
                <w:lang w:val="en-US"/>
              </w:rPr>
              <w:t xml:space="preserve"> </w:t>
            </w:r>
            <w:r w:rsidRPr="002B6ABB">
              <w:rPr>
                <w:kern w:val="2"/>
                <w:sz w:val="32"/>
                <w:szCs w:val="32"/>
                <w:lang w:val="en-US"/>
              </w:rPr>
              <w:t xml:space="preserve">  </w:t>
            </w:r>
          </w:p>
          <w:p w:rsidR="00B9774B" w:rsidRPr="002B6ABB" w:rsidRDefault="00B9774B" w:rsidP="00D37E6B">
            <w:pPr>
              <w:pStyle w:val="4"/>
              <w:spacing w:before="0" w:after="0"/>
              <w:jc w:val="center"/>
              <w:rPr>
                <w:kern w:val="2"/>
                <w:sz w:val="32"/>
                <w:szCs w:val="32"/>
                <w:lang w:val="en-US"/>
              </w:rPr>
            </w:pPr>
            <w:r w:rsidRPr="002B6ABB">
              <w:rPr>
                <w:kern w:val="2"/>
                <w:sz w:val="32"/>
                <w:szCs w:val="32"/>
                <w:lang w:val="en-US"/>
              </w:rPr>
              <w:t xml:space="preserve"> </w:t>
            </w:r>
            <w:r w:rsidR="00D23F38">
              <w:rPr>
                <w:kern w:val="2"/>
                <w:sz w:val="32"/>
                <w:szCs w:val="32"/>
              </w:rPr>
              <w:t xml:space="preserve">    </w:t>
            </w:r>
            <w:r>
              <w:rPr>
                <w:kern w:val="2"/>
                <w:sz w:val="32"/>
                <w:szCs w:val="32"/>
                <w:lang w:val="ru-RU"/>
              </w:rPr>
              <w:t>У</w:t>
            </w:r>
            <w:r w:rsidRPr="002B6ABB">
              <w:rPr>
                <w:kern w:val="2"/>
                <w:sz w:val="32"/>
                <w:szCs w:val="32"/>
                <w:lang w:val="en-US"/>
              </w:rPr>
              <w:t xml:space="preserve"> </w:t>
            </w:r>
            <w:proofErr w:type="gramStart"/>
            <w:r w:rsidRPr="002D0B91">
              <w:rPr>
                <w:kern w:val="2"/>
                <w:sz w:val="32"/>
                <w:szCs w:val="32"/>
                <w:lang w:val="ru-RU"/>
              </w:rPr>
              <w:t>ЖИТЛОВЕ</w:t>
            </w:r>
            <w:r w:rsidRPr="002B6ABB">
              <w:rPr>
                <w:kern w:val="2"/>
                <w:sz w:val="32"/>
                <w:szCs w:val="32"/>
                <w:lang w:val="en-US"/>
              </w:rPr>
              <w:t xml:space="preserve">  </w:t>
            </w:r>
            <w:r w:rsidRPr="002D0B91">
              <w:rPr>
                <w:kern w:val="2"/>
                <w:sz w:val="32"/>
                <w:szCs w:val="32"/>
                <w:lang w:val="ru-RU"/>
              </w:rPr>
              <w:t>БУДІВНИЦТВО</w:t>
            </w:r>
            <w:proofErr w:type="gramEnd"/>
          </w:p>
          <w:p w:rsidR="00D37E6B" w:rsidRPr="00D37E6B" w:rsidRDefault="00D23F38" w:rsidP="00D37E6B">
            <w:pPr>
              <w:spacing w:after="240"/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 xml:space="preserve">    </w:t>
            </w:r>
            <w:proofErr w:type="spellStart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>Сapital</w:t>
            </w:r>
            <w:proofErr w:type="spellEnd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>investment</w:t>
            </w:r>
            <w:proofErr w:type="spellEnd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>in</w:t>
            </w:r>
            <w:proofErr w:type="spellEnd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>residential</w:t>
            </w:r>
            <w:proofErr w:type="spellEnd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37E6B" w:rsidRPr="00D37E6B"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uk-UA" w:eastAsia="uk-UA"/>
              </w:rPr>
              <w:t>construction</w:t>
            </w:r>
            <w:proofErr w:type="spellEnd"/>
          </w:p>
        </w:tc>
      </w:tr>
    </w:tbl>
    <w:p w:rsidR="00B9774B" w:rsidRDefault="00B9774B" w:rsidP="00B9774B">
      <w:pPr>
        <w:pStyle w:val="4"/>
      </w:pPr>
    </w:p>
    <w:p w:rsidR="00B9774B" w:rsidRDefault="00B9774B" w:rsidP="00B9774B">
      <w:pPr>
        <w:pStyle w:val="4"/>
      </w:pPr>
    </w:p>
    <w:p w:rsidR="00B9774B" w:rsidRDefault="00B9774B" w:rsidP="00B9774B">
      <w:pPr>
        <w:pStyle w:val="4"/>
      </w:pPr>
    </w:p>
    <w:p w:rsidR="00B9774B" w:rsidRDefault="00B9774B" w:rsidP="00B9774B">
      <w:pPr>
        <w:pStyle w:val="4"/>
      </w:pPr>
    </w:p>
    <w:p w:rsidR="00B9774B" w:rsidRDefault="00B9774B" w:rsidP="00B9774B">
      <w:pPr>
        <w:pStyle w:val="4"/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6E27DF" w:rsidRDefault="006E27DF" w:rsidP="00B9774B">
      <w:pPr>
        <w:rPr>
          <w:lang w:val="uk-UA"/>
        </w:rPr>
      </w:pPr>
    </w:p>
    <w:p w:rsidR="00B9774B" w:rsidRDefault="00B9774B" w:rsidP="00B9774B">
      <w:pPr>
        <w:rPr>
          <w:lang w:val="uk-UA"/>
        </w:rPr>
      </w:pPr>
    </w:p>
    <w:p w:rsidR="00A21A68" w:rsidRDefault="00A21A68" w:rsidP="00B9774B">
      <w:pPr>
        <w:rPr>
          <w:lang w:val="uk-UA"/>
        </w:rPr>
      </w:pPr>
    </w:p>
    <w:p w:rsidR="00A21A68" w:rsidRDefault="00A21A68" w:rsidP="00B9774B">
      <w:pPr>
        <w:rPr>
          <w:lang w:val="uk-UA"/>
        </w:rPr>
      </w:pPr>
    </w:p>
    <w:p w:rsidR="00A21A68" w:rsidRDefault="00A21A68" w:rsidP="00B9774B">
      <w:pPr>
        <w:rPr>
          <w:lang w:val="uk-UA"/>
        </w:rPr>
      </w:pPr>
    </w:p>
    <w:p w:rsidR="00A21A68" w:rsidRDefault="00A21A68" w:rsidP="00B9774B">
      <w:pPr>
        <w:rPr>
          <w:lang w:val="uk-UA"/>
        </w:rPr>
      </w:pPr>
    </w:p>
    <w:p w:rsidR="00A21A68" w:rsidRDefault="00A21A68">
      <w:pPr>
        <w:rPr>
          <w:lang w:val="uk-UA"/>
        </w:rPr>
      </w:pPr>
      <w:r>
        <w:rPr>
          <w:lang w:val="uk-UA"/>
        </w:rPr>
        <w:br w:type="page"/>
      </w:r>
    </w:p>
    <w:p w:rsidR="00B9774B" w:rsidRDefault="008F1B13" w:rsidP="003D009B">
      <w:pPr>
        <w:pStyle w:val="4"/>
        <w:numPr>
          <w:ilvl w:val="1"/>
          <w:numId w:val="1"/>
        </w:numPr>
      </w:pPr>
      <w:r>
        <w:lastRenderedPageBreak/>
        <w:t>К</w:t>
      </w:r>
      <w:r w:rsidR="00B9774B">
        <w:t>апітал</w:t>
      </w:r>
      <w:r>
        <w:t>ьні</w:t>
      </w:r>
      <w:r w:rsidR="00287822" w:rsidRPr="00C030F1">
        <w:t xml:space="preserve"> </w:t>
      </w:r>
      <w:r>
        <w:t>і</w:t>
      </w:r>
      <w:r w:rsidR="00287822" w:rsidRPr="00C030F1">
        <w:t>нвестиції</w:t>
      </w:r>
      <w:r w:rsidR="00B9774B">
        <w:t xml:space="preserve"> </w:t>
      </w:r>
      <w:r w:rsidR="00B9774B" w:rsidRPr="00C030F1">
        <w:t>у житлове будівництво</w:t>
      </w:r>
    </w:p>
    <w:p w:rsidR="003D009B" w:rsidRDefault="00F043AE" w:rsidP="00F043AE">
      <w:pPr>
        <w:jc w:val="both"/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</w:pPr>
      <w:r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        </w:t>
      </w:r>
      <w:r w:rsidR="0059775B" w:rsidRPr="00A21A68">
        <w:rPr>
          <w:rFonts w:ascii="TimesNewRomanPS-BoldMT" w:hAnsi="TimesNewRomanPS-BoldMT" w:cs="TimesNewRomanPS-BoldMT"/>
          <w:bCs/>
          <w:i/>
          <w:sz w:val="22"/>
          <w:szCs w:val="22"/>
          <w:lang w:eastAsia="uk-UA"/>
        </w:rPr>
        <w:t xml:space="preserve"> </w:t>
      </w:r>
      <w:proofErr w:type="spellStart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Сapital</w:t>
      </w:r>
      <w:proofErr w:type="spellEnd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investment</w:t>
      </w:r>
      <w:proofErr w:type="spellEnd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</w:t>
      </w:r>
      <w:proofErr w:type="spellEnd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residential</w:t>
      </w:r>
      <w:proofErr w:type="spellEnd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F043AE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construction</w:t>
      </w:r>
      <w:proofErr w:type="spellEnd"/>
    </w:p>
    <w:p w:rsidR="00F043AE" w:rsidRPr="00F043AE" w:rsidRDefault="00F043AE" w:rsidP="00F043AE">
      <w:pPr>
        <w:jc w:val="both"/>
        <w:rPr>
          <w:i/>
          <w:sz w:val="22"/>
          <w:szCs w:val="22"/>
          <w:lang w:val="uk-UA"/>
        </w:rPr>
      </w:pPr>
    </w:p>
    <w:p w:rsidR="00B9774B" w:rsidRPr="00C030F1" w:rsidRDefault="00B9774B" w:rsidP="00B9774B">
      <w:pPr>
        <w:jc w:val="center"/>
        <w:rPr>
          <w:sz w:val="24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45"/>
        <w:gridCol w:w="1908"/>
        <w:gridCol w:w="2088"/>
        <w:gridCol w:w="2467"/>
        <w:gridCol w:w="1328"/>
      </w:tblGrid>
      <w:tr w:rsidR="002954DA" w:rsidRPr="00002C0F" w:rsidTr="00AC2582">
        <w:trPr>
          <w:trHeight w:val="1378"/>
        </w:trPr>
        <w:tc>
          <w:tcPr>
            <w:tcW w:w="1745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54DA" w:rsidRPr="002259FA" w:rsidRDefault="002954DA" w:rsidP="00AC2582">
            <w:pPr>
              <w:ind w:left="-216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908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2954DA" w:rsidRDefault="002954DA" w:rsidP="00A606F5">
            <w:pPr>
              <w:jc w:val="center"/>
              <w:rPr>
                <w:b/>
                <w:sz w:val="24"/>
                <w:lang w:val="uk-UA"/>
              </w:rPr>
            </w:pPr>
            <w:r w:rsidRPr="002259FA">
              <w:rPr>
                <w:b/>
                <w:sz w:val="24"/>
                <w:lang w:val="uk-UA"/>
              </w:rPr>
              <w:t xml:space="preserve">У фактичних цінах, </w:t>
            </w:r>
            <w:proofErr w:type="spellStart"/>
            <w:r w:rsidRPr="002259FA">
              <w:rPr>
                <w:b/>
                <w:sz w:val="24"/>
                <w:lang w:val="uk-UA"/>
              </w:rPr>
              <w:t>млн.грн</w:t>
            </w:r>
            <w:proofErr w:type="spellEnd"/>
            <w:r w:rsidRPr="002259FA">
              <w:rPr>
                <w:b/>
                <w:sz w:val="24"/>
                <w:lang w:val="uk-UA"/>
              </w:rPr>
              <w:t>.</w:t>
            </w:r>
            <w:r w:rsidR="00E779DD">
              <w:rPr>
                <w:b/>
                <w:sz w:val="24"/>
                <w:lang w:val="uk-UA"/>
              </w:rPr>
              <w:t xml:space="preserve">/ </w:t>
            </w:r>
          </w:p>
          <w:p w:rsidR="00E779DD" w:rsidRPr="00E779DD" w:rsidRDefault="00E779DD" w:rsidP="00E779DD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>Аt</w:t>
            </w:r>
            <w:proofErr w:type="spellEnd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>current</w:t>
            </w:r>
            <w:proofErr w:type="spellEnd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>prices</w:t>
            </w:r>
            <w:proofErr w:type="spellEnd"/>
            <w:r>
              <w:rPr>
                <w:i/>
                <w:iCs/>
                <w:sz w:val="22"/>
                <w:szCs w:val="22"/>
                <w:lang w:val="uk-UA" w:eastAsia="uk-UA"/>
              </w:rPr>
              <w:t>,</w:t>
            </w:r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>mln</w:t>
            </w:r>
            <w:proofErr w:type="spellEnd"/>
            <w:r w:rsidRPr="00E779DD">
              <w:rPr>
                <w:i/>
                <w:iCs/>
                <w:sz w:val="22"/>
                <w:szCs w:val="22"/>
                <w:lang w:val="uk-UA" w:eastAsia="uk-UA"/>
              </w:rPr>
              <w:t>. UAH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54DA" w:rsidRPr="002259FA" w:rsidRDefault="002954DA" w:rsidP="00A606F5">
            <w:pPr>
              <w:jc w:val="center"/>
              <w:rPr>
                <w:b/>
                <w:sz w:val="24"/>
                <w:lang w:val="uk-UA"/>
              </w:rPr>
            </w:pPr>
            <w:r w:rsidRPr="002259FA">
              <w:rPr>
                <w:b/>
                <w:sz w:val="24"/>
                <w:lang w:val="uk-UA"/>
              </w:rPr>
              <w:t>У відсотках до</w:t>
            </w:r>
          </w:p>
          <w:p w:rsidR="002954DA" w:rsidRPr="002259FA" w:rsidRDefault="002954DA" w:rsidP="00E779DD">
            <w:pPr>
              <w:jc w:val="center"/>
              <w:rPr>
                <w:b/>
                <w:sz w:val="24"/>
                <w:lang w:val="uk-UA"/>
              </w:rPr>
            </w:pPr>
            <w:r w:rsidRPr="002259FA">
              <w:rPr>
                <w:b/>
                <w:sz w:val="24"/>
                <w:lang w:val="uk-UA"/>
              </w:rPr>
              <w:t>попереднього року</w:t>
            </w:r>
            <w:r w:rsidR="00E779DD">
              <w:rPr>
                <w:b/>
                <w:sz w:val="24"/>
                <w:lang w:val="uk-UA"/>
              </w:rPr>
              <w:t xml:space="preserve"> /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Рercent</w:t>
            </w:r>
            <w:proofErr w:type="spellEnd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of</w:t>
            </w:r>
            <w:proofErr w:type="spellEnd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the</w:t>
            </w:r>
            <w:proofErr w:type="spellEnd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previous</w:t>
            </w:r>
            <w:proofErr w:type="spellEnd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year</w:t>
            </w:r>
            <w:proofErr w:type="spellEnd"/>
          </w:p>
        </w:tc>
        <w:tc>
          <w:tcPr>
            <w:tcW w:w="246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4DA" w:rsidRPr="002259FA" w:rsidRDefault="002954DA" w:rsidP="00A606F5">
            <w:pPr>
              <w:jc w:val="center"/>
              <w:rPr>
                <w:b/>
                <w:sz w:val="24"/>
                <w:lang w:val="uk-UA"/>
              </w:rPr>
            </w:pPr>
            <w:r w:rsidRPr="002259FA">
              <w:rPr>
                <w:b/>
                <w:sz w:val="24"/>
                <w:lang w:val="uk-UA"/>
              </w:rPr>
              <w:t xml:space="preserve">У відсотках до </w:t>
            </w:r>
          </w:p>
          <w:p w:rsidR="002954DA" w:rsidRPr="002259FA" w:rsidRDefault="002954DA" w:rsidP="008F1B13">
            <w:pPr>
              <w:jc w:val="center"/>
              <w:rPr>
                <w:b/>
                <w:sz w:val="24"/>
                <w:lang w:val="uk-UA"/>
              </w:rPr>
            </w:pPr>
            <w:r w:rsidRPr="002259FA">
              <w:rPr>
                <w:b/>
                <w:sz w:val="24"/>
                <w:lang w:val="uk-UA"/>
              </w:rPr>
              <w:t xml:space="preserve">загального обсягу </w:t>
            </w:r>
            <w:r w:rsidR="008F1B13" w:rsidRPr="002259FA">
              <w:rPr>
                <w:b/>
                <w:sz w:val="24"/>
                <w:lang w:val="uk-UA"/>
              </w:rPr>
              <w:t>капітал</w:t>
            </w:r>
            <w:r w:rsidR="008F1B13">
              <w:rPr>
                <w:b/>
                <w:sz w:val="24"/>
                <w:lang w:val="uk-UA"/>
              </w:rPr>
              <w:t>ьних</w:t>
            </w:r>
            <w:r w:rsidR="008F1B13" w:rsidRPr="002259FA">
              <w:rPr>
                <w:b/>
                <w:sz w:val="24"/>
                <w:lang w:val="uk-UA"/>
              </w:rPr>
              <w:t xml:space="preserve"> </w:t>
            </w:r>
            <w:r w:rsidRPr="002259FA">
              <w:rPr>
                <w:b/>
                <w:sz w:val="24"/>
                <w:lang w:val="uk-UA"/>
              </w:rPr>
              <w:t xml:space="preserve">інвестицій </w:t>
            </w:r>
            <w:r w:rsidR="00E779DD">
              <w:rPr>
                <w:b/>
                <w:sz w:val="24"/>
                <w:lang w:val="uk-UA"/>
              </w:rPr>
              <w:t xml:space="preserve">/ </w:t>
            </w:r>
            <w:r w:rsidRPr="002259FA">
              <w:rPr>
                <w:b/>
                <w:sz w:val="24"/>
                <w:lang w:val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Percentage</w:t>
            </w:r>
            <w:proofErr w:type="spellEnd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of</w:t>
            </w:r>
            <w:proofErr w:type="spellEnd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E779DD" w:rsidRPr="00E779DD">
              <w:rPr>
                <w:i/>
                <w:iCs/>
                <w:sz w:val="22"/>
                <w:szCs w:val="22"/>
                <w:lang w:val="uk-UA" w:eastAsia="uk-UA"/>
              </w:rPr>
              <w:t>total</w:t>
            </w:r>
            <w:proofErr w:type="spellEnd"/>
          </w:p>
        </w:tc>
        <w:tc>
          <w:tcPr>
            <w:tcW w:w="13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4DA" w:rsidRDefault="002954DA" w:rsidP="002954D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У грн.</w:t>
            </w:r>
          </w:p>
          <w:p w:rsidR="002954DA" w:rsidRDefault="002954DA" w:rsidP="002954D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на одну</w:t>
            </w:r>
          </w:p>
          <w:p w:rsidR="005B674D" w:rsidRPr="001773DB" w:rsidRDefault="002954DA" w:rsidP="002954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особу</w:t>
            </w:r>
            <w:r w:rsidR="005B674D" w:rsidRPr="001773DB">
              <w:rPr>
                <w:b/>
                <w:sz w:val="24"/>
              </w:rPr>
              <w:t xml:space="preserve"> / </w:t>
            </w:r>
          </w:p>
          <w:p w:rsidR="002954DA" w:rsidRPr="005B674D" w:rsidRDefault="005B674D" w:rsidP="002954DA">
            <w:pPr>
              <w:jc w:val="center"/>
              <w:rPr>
                <w:b/>
                <w:sz w:val="24"/>
                <w:lang w:val="en-US"/>
              </w:rPr>
            </w:pPr>
            <w:r w:rsidRPr="005B674D">
              <w:rPr>
                <w:rStyle w:val="hps"/>
                <w:i/>
                <w:lang w:val="en"/>
              </w:rPr>
              <w:t>At</w:t>
            </w:r>
            <w:r w:rsidRPr="005B674D">
              <w:rPr>
                <w:rStyle w:val="shorttext"/>
                <w:i/>
                <w:lang w:val="en"/>
              </w:rPr>
              <w:t xml:space="preserve"> </w:t>
            </w:r>
            <w:r w:rsidRPr="005B674D">
              <w:rPr>
                <w:rStyle w:val="hps"/>
                <w:i/>
                <w:lang w:val="en"/>
              </w:rPr>
              <w:t>UAH per</w:t>
            </w:r>
            <w:r w:rsidRPr="005B674D">
              <w:rPr>
                <w:rStyle w:val="shorttext"/>
                <w:i/>
                <w:lang w:val="en"/>
              </w:rPr>
              <w:t xml:space="preserve"> </w:t>
            </w:r>
            <w:r w:rsidRPr="005B674D">
              <w:rPr>
                <w:rStyle w:val="hps"/>
                <w:i/>
                <w:lang w:val="en"/>
              </w:rPr>
              <w:t>one person</w:t>
            </w:r>
            <w:r>
              <w:rPr>
                <w:b/>
                <w:sz w:val="24"/>
                <w:lang w:val="en-US"/>
              </w:rPr>
              <w:t xml:space="preserve"> </w:t>
            </w:r>
          </w:p>
        </w:tc>
      </w:tr>
      <w:tr w:rsidR="005B674D" w:rsidRPr="00C030F1" w:rsidTr="00AC2582">
        <w:trPr>
          <w:trHeight w:val="306"/>
        </w:trPr>
        <w:tc>
          <w:tcPr>
            <w:tcW w:w="174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B674D" w:rsidRPr="00C030F1" w:rsidRDefault="005B674D" w:rsidP="005B674D">
            <w:pPr>
              <w:spacing w:line="264" w:lineRule="auto"/>
              <w:jc w:val="right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B674D" w:rsidRPr="00896579" w:rsidRDefault="005B674D" w:rsidP="005B674D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/>
              <w:ind w:left="113" w:right="38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28736</w:t>
            </w:r>
          </w:p>
        </w:tc>
        <w:tc>
          <w:tcPr>
            <w:tcW w:w="2088" w:type="dxa"/>
            <w:tcBorders>
              <w:top w:val="single" w:sz="4" w:space="0" w:color="auto"/>
            </w:tcBorders>
            <w:vAlign w:val="center"/>
          </w:tcPr>
          <w:p w:rsidR="005B674D" w:rsidRPr="00896579" w:rsidRDefault="005B674D" w:rsidP="005B674D">
            <w:pPr>
              <w:spacing w:before="100" w:beforeAutospacing="1"/>
              <w:ind w:right="33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2467" w:type="dxa"/>
            <w:tcBorders>
              <w:top w:val="single" w:sz="4" w:space="0" w:color="auto"/>
            </w:tcBorders>
            <w:vAlign w:val="center"/>
          </w:tcPr>
          <w:p w:rsidR="005B674D" w:rsidRPr="00896579" w:rsidRDefault="005B674D" w:rsidP="005B674D">
            <w:pPr>
              <w:spacing w:before="100" w:beforeAutospacing="1"/>
              <w:ind w:right="297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15,2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5B674D" w:rsidRPr="000D411B" w:rsidRDefault="005B674D" w:rsidP="005B674D">
            <w:pPr>
              <w:spacing w:before="100" w:beforeAutospacing="1"/>
              <w:ind w:right="113"/>
              <w:jc w:val="right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628,9</w:t>
            </w:r>
          </w:p>
        </w:tc>
      </w:tr>
      <w:tr w:rsidR="005B674D" w:rsidRPr="00C030F1" w:rsidTr="00AC2582">
        <w:trPr>
          <w:trHeight w:val="321"/>
        </w:trPr>
        <w:tc>
          <w:tcPr>
            <w:tcW w:w="1745" w:type="dxa"/>
            <w:tcBorders>
              <w:right w:val="single" w:sz="4" w:space="0" w:color="auto"/>
            </w:tcBorders>
            <w:vAlign w:val="bottom"/>
          </w:tcPr>
          <w:p w:rsidR="005B674D" w:rsidRPr="002954DA" w:rsidRDefault="005B674D" w:rsidP="005B674D">
            <w:pPr>
              <w:spacing w:line="264" w:lineRule="auto"/>
              <w:jc w:val="right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2011</w:t>
            </w:r>
          </w:p>
        </w:tc>
        <w:tc>
          <w:tcPr>
            <w:tcW w:w="1908" w:type="dxa"/>
            <w:tcBorders>
              <w:left w:val="single" w:sz="4" w:space="0" w:color="auto"/>
            </w:tcBorders>
            <w:vAlign w:val="bottom"/>
          </w:tcPr>
          <w:p w:rsidR="005B674D" w:rsidRPr="00896579" w:rsidRDefault="005B674D" w:rsidP="005B674D">
            <w:pPr>
              <w:tabs>
                <w:tab w:val="left" w:pos="-48"/>
                <w:tab w:val="left" w:pos="0"/>
                <w:tab w:val="left" w:pos="2135"/>
              </w:tabs>
              <w:spacing w:line="264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29557</w:t>
            </w:r>
          </w:p>
        </w:tc>
        <w:tc>
          <w:tcPr>
            <w:tcW w:w="2088" w:type="dxa"/>
            <w:vAlign w:val="bottom"/>
          </w:tcPr>
          <w:p w:rsidR="005B674D" w:rsidRPr="00BE5CF9" w:rsidRDefault="005B674D" w:rsidP="005B674D">
            <w:pPr>
              <w:tabs>
                <w:tab w:val="left" w:pos="1606"/>
                <w:tab w:val="left" w:pos="1786"/>
              </w:tabs>
              <w:spacing w:line="264" w:lineRule="auto"/>
              <w:ind w:left="1246" w:right="331" w:hanging="459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85,6</w:t>
            </w:r>
          </w:p>
        </w:tc>
        <w:tc>
          <w:tcPr>
            <w:tcW w:w="2467" w:type="dxa"/>
            <w:vAlign w:val="bottom"/>
          </w:tcPr>
          <w:p w:rsidR="005B674D" w:rsidRPr="00BE5CF9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297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11,4</w:t>
            </w:r>
          </w:p>
        </w:tc>
        <w:tc>
          <w:tcPr>
            <w:tcW w:w="1328" w:type="dxa"/>
          </w:tcPr>
          <w:p w:rsidR="005B674D" w:rsidRPr="002954DA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113"/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  <w:t>649,2</w:t>
            </w:r>
          </w:p>
        </w:tc>
      </w:tr>
      <w:tr w:rsidR="005B674D" w:rsidRPr="00C030F1" w:rsidTr="00AC2582">
        <w:trPr>
          <w:trHeight w:val="306"/>
        </w:trPr>
        <w:tc>
          <w:tcPr>
            <w:tcW w:w="1745" w:type="dxa"/>
            <w:tcBorders>
              <w:right w:val="single" w:sz="4" w:space="0" w:color="auto"/>
            </w:tcBorders>
            <w:vAlign w:val="bottom"/>
          </w:tcPr>
          <w:p w:rsidR="005B674D" w:rsidRPr="00C030F1" w:rsidRDefault="005B674D" w:rsidP="005B674D">
            <w:pPr>
              <w:spacing w:line="264" w:lineRule="auto"/>
              <w:jc w:val="right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1908" w:type="dxa"/>
            <w:tcBorders>
              <w:left w:val="single" w:sz="4" w:space="0" w:color="auto"/>
            </w:tcBorders>
            <w:vAlign w:val="bottom"/>
          </w:tcPr>
          <w:p w:rsidR="005B674D" w:rsidRPr="00896579" w:rsidRDefault="005B674D" w:rsidP="005B674D">
            <w:pPr>
              <w:tabs>
                <w:tab w:val="left" w:pos="-48"/>
                <w:tab w:val="left" w:pos="0"/>
                <w:tab w:val="left" w:pos="2135"/>
              </w:tabs>
              <w:spacing w:line="264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38549</w:t>
            </w:r>
          </w:p>
        </w:tc>
        <w:tc>
          <w:tcPr>
            <w:tcW w:w="2088" w:type="dxa"/>
            <w:vAlign w:val="bottom"/>
          </w:tcPr>
          <w:p w:rsidR="005B674D" w:rsidRPr="00C030F1" w:rsidRDefault="005B674D" w:rsidP="005B674D">
            <w:pPr>
              <w:tabs>
                <w:tab w:val="left" w:pos="1606"/>
                <w:tab w:val="left" w:pos="2146"/>
              </w:tabs>
              <w:spacing w:line="264" w:lineRule="auto"/>
              <w:ind w:left="1246" w:right="331" w:hanging="459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117,1</w:t>
            </w:r>
          </w:p>
        </w:tc>
        <w:tc>
          <w:tcPr>
            <w:tcW w:w="2467" w:type="dxa"/>
            <w:vAlign w:val="bottom"/>
          </w:tcPr>
          <w:p w:rsidR="005B674D" w:rsidRPr="00C030F1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331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13,1</w:t>
            </w:r>
          </w:p>
        </w:tc>
        <w:tc>
          <w:tcPr>
            <w:tcW w:w="1328" w:type="dxa"/>
          </w:tcPr>
          <w:p w:rsidR="005B674D" w:rsidRPr="00C030F1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11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848,9</w:t>
            </w:r>
          </w:p>
        </w:tc>
      </w:tr>
      <w:tr w:rsidR="005B674D" w:rsidRPr="00C030F1" w:rsidTr="00AC2582">
        <w:trPr>
          <w:trHeight w:val="306"/>
        </w:trPr>
        <w:tc>
          <w:tcPr>
            <w:tcW w:w="1745" w:type="dxa"/>
            <w:tcBorders>
              <w:right w:val="single" w:sz="4" w:space="0" w:color="auto"/>
            </w:tcBorders>
            <w:vAlign w:val="bottom"/>
          </w:tcPr>
          <w:p w:rsidR="005B674D" w:rsidRPr="00C030F1" w:rsidRDefault="005B674D" w:rsidP="005B674D">
            <w:pPr>
              <w:spacing w:line="264" w:lineRule="auto"/>
              <w:jc w:val="right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13</w:t>
            </w:r>
          </w:p>
        </w:tc>
        <w:tc>
          <w:tcPr>
            <w:tcW w:w="1908" w:type="dxa"/>
            <w:tcBorders>
              <w:left w:val="single" w:sz="4" w:space="0" w:color="auto"/>
            </w:tcBorders>
            <w:vAlign w:val="bottom"/>
          </w:tcPr>
          <w:p w:rsidR="005B674D" w:rsidRPr="00896579" w:rsidRDefault="005B674D" w:rsidP="005B674D">
            <w:pPr>
              <w:tabs>
                <w:tab w:val="left" w:pos="-48"/>
                <w:tab w:val="left" w:pos="0"/>
                <w:tab w:val="left" w:pos="2135"/>
              </w:tabs>
              <w:spacing w:line="264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41567</w:t>
            </w:r>
          </w:p>
        </w:tc>
        <w:tc>
          <w:tcPr>
            <w:tcW w:w="2088" w:type="dxa"/>
            <w:vAlign w:val="bottom"/>
          </w:tcPr>
          <w:p w:rsidR="005B674D" w:rsidRPr="00C030F1" w:rsidRDefault="005B674D" w:rsidP="005B674D">
            <w:pPr>
              <w:tabs>
                <w:tab w:val="left" w:pos="1606"/>
                <w:tab w:val="left" w:pos="1786"/>
              </w:tabs>
              <w:spacing w:line="264" w:lineRule="auto"/>
              <w:ind w:left="1246" w:right="331" w:hanging="459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104,1</w:t>
            </w:r>
          </w:p>
        </w:tc>
        <w:tc>
          <w:tcPr>
            <w:tcW w:w="2467" w:type="dxa"/>
            <w:vAlign w:val="bottom"/>
          </w:tcPr>
          <w:p w:rsidR="005B674D" w:rsidRPr="00C030F1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331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15,5</w:t>
            </w:r>
          </w:p>
        </w:tc>
        <w:tc>
          <w:tcPr>
            <w:tcW w:w="1328" w:type="dxa"/>
          </w:tcPr>
          <w:p w:rsidR="005B674D" w:rsidRPr="00C030F1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11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917,4</w:t>
            </w:r>
          </w:p>
        </w:tc>
      </w:tr>
      <w:tr w:rsidR="005B674D" w:rsidRPr="00C030F1" w:rsidTr="00AC2582">
        <w:trPr>
          <w:trHeight w:val="306"/>
        </w:trPr>
        <w:tc>
          <w:tcPr>
            <w:tcW w:w="1745" w:type="dxa"/>
            <w:tcBorders>
              <w:top w:val="single" w:sz="4" w:space="0" w:color="auto"/>
            </w:tcBorders>
            <w:vAlign w:val="bottom"/>
          </w:tcPr>
          <w:p w:rsidR="005B674D" w:rsidRPr="00C030F1" w:rsidRDefault="005B674D" w:rsidP="005B674D">
            <w:pPr>
              <w:spacing w:line="264" w:lineRule="auto"/>
              <w:jc w:val="right"/>
              <w:rPr>
                <w:b/>
                <w:sz w:val="24"/>
                <w:lang w:val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</w:tcBorders>
            <w:vAlign w:val="center"/>
          </w:tcPr>
          <w:p w:rsidR="005B674D" w:rsidRPr="00BE5CF9" w:rsidRDefault="005B674D" w:rsidP="005B674D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/>
              <w:ind w:left="113" w:right="383"/>
              <w:jc w:val="right"/>
              <w:rPr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4" w:space="0" w:color="auto"/>
            </w:tcBorders>
            <w:vAlign w:val="center"/>
          </w:tcPr>
          <w:p w:rsidR="005B674D" w:rsidRPr="00BE5CF9" w:rsidRDefault="005B674D" w:rsidP="005B674D">
            <w:pPr>
              <w:spacing w:before="100" w:beforeAutospacing="1"/>
              <w:ind w:right="331"/>
              <w:jc w:val="right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sz="4" w:space="0" w:color="auto"/>
            </w:tcBorders>
            <w:vAlign w:val="center"/>
          </w:tcPr>
          <w:p w:rsidR="005B674D" w:rsidRPr="00BE5CF9" w:rsidRDefault="005B674D" w:rsidP="005B674D">
            <w:pPr>
              <w:spacing w:before="100" w:beforeAutospacing="1"/>
              <w:ind w:right="297"/>
              <w:jc w:val="right"/>
              <w:rPr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:rsidR="005B674D" w:rsidRPr="002954DA" w:rsidRDefault="005B674D" w:rsidP="005B674D">
            <w:pPr>
              <w:spacing w:before="100" w:beforeAutospacing="1"/>
              <w:ind w:right="113"/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</w:tr>
      <w:tr w:rsidR="005B674D" w:rsidRPr="00C030F1" w:rsidTr="00AC2582">
        <w:trPr>
          <w:trHeight w:val="306"/>
        </w:trPr>
        <w:tc>
          <w:tcPr>
            <w:tcW w:w="1745" w:type="dxa"/>
            <w:vAlign w:val="bottom"/>
          </w:tcPr>
          <w:p w:rsidR="005B674D" w:rsidRPr="002954DA" w:rsidRDefault="005B674D" w:rsidP="005B674D">
            <w:pPr>
              <w:spacing w:line="264" w:lineRule="auto"/>
              <w:jc w:val="right"/>
              <w:rPr>
                <w:b/>
                <w:sz w:val="24"/>
                <w:lang w:val="uk-UA"/>
              </w:rPr>
            </w:pPr>
          </w:p>
        </w:tc>
        <w:tc>
          <w:tcPr>
            <w:tcW w:w="1908" w:type="dxa"/>
            <w:tcBorders>
              <w:left w:val="nil"/>
            </w:tcBorders>
            <w:vAlign w:val="bottom"/>
          </w:tcPr>
          <w:p w:rsidR="005B674D" w:rsidRPr="00BE5CF9" w:rsidRDefault="005B674D" w:rsidP="005B674D">
            <w:pPr>
              <w:tabs>
                <w:tab w:val="left" w:pos="-48"/>
                <w:tab w:val="left" w:pos="0"/>
                <w:tab w:val="left" w:pos="2135"/>
              </w:tabs>
              <w:spacing w:line="264" w:lineRule="auto"/>
              <w:ind w:right="383"/>
              <w:jc w:val="right"/>
              <w:rPr>
                <w:sz w:val="24"/>
                <w:lang w:val="uk-UA"/>
              </w:rPr>
            </w:pPr>
          </w:p>
        </w:tc>
        <w:tc>
          <w:tcPr>
            <w:tcW w:w="2088" w:type="dxa"/>
            <w:vAlign w:val="bottom"/>
          </w:tcPr>
          <w:p w:rsidR="005B674D" w:rsidRPr="00BE5CF9" w:rsidRDefault="005B674D" w:rsidP="005B674D">
            <w:pPr>
              <w:tabs>
                <w:tab w:val="left" w:pos="1606"/>
                <w:tab w:val="left" w:pos="1786"/>
              </w:tabs>
              <w:spacing w:line="264" w:lineRule="auto"/>
              <w:ind w:left="1246" w:right="331" w:hanging="459"/>
              <w:jc w:val="right"/>
              <w:rPr>
                <w:sz w:val="24"/>
                <w:lang w:val="uk-UA"/>
              </w:rPr>
            </w:pPr>
          </w:p>
        </w:tc>
        <w:tc>
          <w:tcPr>
            <w:tcW w:w="2467" w:type="dxa"/>
            <w:vAlign w:val="bottom"/>
          </w:tcPr>
          <w:p w:rsidR="005B674D" w:rsidRPr="00BE5CF9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297"/>
              <w:jc w:val="right"/>
              <w:rPr>
                <w:sz w:val="24"/>
                <w:lang w:val="uk-UA"/>
              </w:rPr>
            </w:pPr>
          </w:p>
        </w:tc>
        <w:tc>
          <w:tcPr>
            <w:tcW w:w="1328" w:type="dxa"/>
          </w:tcPr>
          <w:p w:rsidR="005B674D" w:rsidRPr="002954DA" w:rsidRDefault="005B674D" w:rsidP="005B674D">
            <w:pPr>
              <w:tabs>
                <w:tab w:val="decimal" w:pos="265"/>
                <w:tab w:val="left" w:pos="1433"/>
                <w:tab w:val="left" w:pos="1824"/>
              </w:tabs>
              <w:spacing w:line="264" w:lineRule="auto"/>
              <w:ind w:left="-160" w:right="113"/>
              <w:jc w:val="right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</w:p>
        </w:tc>
      </w:tr>
    </w:tbl>
    <w:p w:rsidR="00B9774B" w:rsidRPr="00C030F1" w:rsidRDefault="00B9774B" w:rsidP="00B9774B">
      <w:pPr>
        <w:rPr>
          <w:lang w:val="uk-UA"/>
        </w:rPr>
      </w:pPr>
    </w:p>
    <w:p w:rsidR="00B9774B" w:rsidRPr="00C030F1" w:rsidRDefault="00B9774B" w:rsidP="00B9774B">
      <w:pPr>
        <w:rPr>
          <w:lang w:val="uk-UA"/>
        </w:rPr>
      </w:pPr>
    </w:p>
    <w:p w:rsidR="00B9774B" w:rsidRPr="0059775B" w:rsidRDefault="00B9774B" w:rsidP="00B9774B">
      <w:pPr>
        <w:pStyle w:val="1"/>
        <w:jc w:val="left"/>
        <w:rPr>
          <w:lang w:val="ru-RU"/>
        </w:rPr>
      </w:pPr>
      <w:r w:rsidRPr="00C030F1">
        <w:t xml:space="preserve">1.2. </w:t>
      </w:r>
      <w:r w:rsidR="0059775B" w:rsidRPr="0059775B">
        <w:rPr>
          <w:lang w:val="ru-RU"/>
        </w:rPr>
        <w:t xml:space="preserve"> </w:t>
      </w:r>
      <w:r w:rsidRPr="00C030F1">
        <w:t xml:space="preserve">Індекси </w:t>
      </w:r>
      <w:r w:rsidR="008F1B13">
        <w:t>капітальних</w:t>
      </w:r>
      <w:r w:rsidR="008F1B13" w:rsidRPr="00C030F1">
        <w:t xml:space="preserve"> </w:t>
      </w:r>
      <w:r w:rsidRPr="00C030F1">
        <w:t>інвестицій</w:t>
      </w:r>
      <w:r w:rsidR="00D64380" w:rsidRPr="00D64380">
        <w:t xml:space="preserve"> </w:t>
      </w:r>
      <w:r w:rsidRPr="00C030F1">
        <w:t>у житлове будівництво та</w:t>
      </w:r>
      <w:r w:rsidR="0059775B" w:rsidRPr="0059775B">
        <w:rPr>
          <w:lang w:val="ru-RU"/>
        </w:rPr>
        <w:t xml:space="preserve"> </w:t>
      </w:r>
      <w:r w:rsidR="0059775B">
        <w:t>загальна</w:t>
      </w:r>
    </w:p>
    <w:p w:rsidR="00B9774B" w:rsidRPr="0066080F" w:rsidRDefault="00B9774B" w:rsidP="00B9774B">
      <w:pPr>
        <w:pStyle w:val="1"/>
        <w:jc w:val="left"/>
      </w:pPr>
      <w:r w:rsidRPr="0066080F">
        <w:t xml:space="preserve">       </w:t>
      </w:r>
      <w:r w:rsidR="0059775B" w:rsidRPr="0059775B">
        <w:rPr>
          <w:lang w:val="ru-RU"/>
        </w:rPr>
        <w:t xml:space="preserve"> </w:t>
      </w:r>
      <w:r w:rsidR="0061582C">
        <w:t xml:space="preserve">площа </w:t>
      </w:r>
      <w:r w:rsidRPr="0066080F">
        <w:t>прийнято</w:t>
      </w:r>
      <w:r w:rsidR="0061582C">
        <w:t>го</w:t>
      </w:r>
      <w:r w:rsidRPr="0066080F">
        <w:t xml:space="preserve"> в експлуатацію житла</w:t>
      </w:r>
    </w:p>
    <w:p w:rsidR="0061582C" w:rsidRPr="0059775B" w:rsidRDefault="005B674D" w:rsidP="00B9774B">
      <w:pPr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</w:pPr>
      <w:r w:rsidRP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      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P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proofErr w:type="spellStart"/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Indices</w:t>
      </w:r>
      <w:proofErr w:type="spellEnd"/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of</w:t>
      </w:r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capital</w:t>
      </w:r>
      <w:proofErr w:type="spellEnd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investment</w:t>
      </w:r>
      <w:proofErr w:type="spellEnd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</w:t>
      </w:r>
      <w:proofErr w:type="spellEnd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completed </w:t>
      </w:r>
      <w:proofErr w:type="spellStart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residential</w:t>
      </w:r>
      <w:proofErr w:type="spellEnd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5B674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construction</w:t>
      </w:r>
      <w:proofErr w:type="spellEnd"/>
      <w:r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proofErr w:type="spellStart"/>
      <w:r w:rsidRPr="00662B53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and</w:t>
      </w:r>
      <w:proofErr w:type="spellEnd"/>
      <w:r w:rsidRPr="00662B53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the</w:t>
      </w:r>
      <w:proofErr w:type="spellEnd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total</w:t>
      </w:r>
      <w:proofErr w:type="spellEnd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area</w:t>
      </w:r>
      <w:proofErr w:type="spellEnd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of</w:t>
      </w:r>
      <w:proofErr w:type="spellEnd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dwell</w:t>
      </w:r>
      <w:proofErr w:type="spellStart"/>
      <w:r w:rsidR="0061582C"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ing</w:t>
      </w:r>
      <w:proofErr w:type="spellEnd"/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s</w:t>
      </w:r>
    </w:p>
    <w:p w:rsidR="00B9774B" w:rsidRPr="0059775B" w:rsidRDefault="0061582C" w:rsidP="00B9774B">
      <w:pPr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</w:pPr>
      <w:r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      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r w:rsidRPr="0061582C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(</w:t>
      </w:r>
      <w:proofErr w:type="gramStart"/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graph</w:t>
      </w:r>
      <w:proofErr w:type="gramEnd"/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)</w:t>
      </w:r>
    </w:p>
    <w:p w:rsidR="00B9774B" w:rsidRPr="00C030F1" w:rsidRDefault="00E23B07" w:rsidP="00B9774B">
      <w:pPr>
        <w:ind w:right="-725"/>
        <w:rPr>
          <w:b/>
          <w:sz w:val="28"/>
          <w:szCs w:val="28"/>
          <w:lang w:val="uk-UA"/>
        </w:rPr>
      </w:pPr>
      <w:r w:rsidRPr="00C030F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199505" cy="4648200"/>
            <wp:effectExtent l="0" t="0" r="0" b="0"/>
            <wp:docPr id="51" name="Объект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9774B" w:rsidRPr="00C030F1" w:rsidRDefault="00B9774B" w:rsidP="00B9774B">
      <w:pPr>
        <w:pStyle w:val="1"/>
        <w:jc w:val="left"/>
      </w:pPr>
      <w:r w:rsidRPr="00C030F1">
        <w:lastRenderedPageBreak/>
        <w:t>1.3.</w:t>
      </w:r>
      <w:r w:rsidR="001B4660">
        <w:t xml:space="preserve"> </w:t>
      </w:r>
      <w:r w:rsidRPr="00C030F1">
        <w:t xml:space="preserve"> </w:t>
      </w:r>
      <w:r w:rsidR="008F1B13">
        <w:t>Капітальні і</w:t>
      </w:r>
      <w:r w:rsidRPr="00C030F1">
        <w:t>нвестиції у житлове будівництво</w:t>
      </w:r>
      <w:r>
        <w:t xml:space="preserve"> за регіонами</w:t>
      </w:r>
      <w:r w:rsidRPr="00C030F1">
        <w:t xml:space="preserve"> </w:t>
      </w:r>
    </w:p>
    <w:p w:rsidR="00B9774B" w:rsidRPr="00002C0F" w:rsidRDefault="00662B53" w:rsidP="00B9774B">
      <w:pPr>
        <w:rPr>
          <w:i/>
          <w:sz w:val="22"/>
          <w:szCs w:val="22"/>
          <w:lang w:val="en-US"/>
        </w:rPr>
      </w:pPr>
      <w:r w:rsidRPr="00A21A68">
        <w:rPr>
          <w:i/>
          <w:sz w:val="22"/>
          <w:szCs w:val="22"/>
        </w:rPr>
        <w:t xml:space="preserve">        </w:t>
      </w:r>
      <w:r w:rsidR="0059775B" w:rsidRPr="00A21A68">
        <w:rPr>
          <w:i/>
          <w:sz w:val="22"/>
          <w:szCs w:val="22"/>
        </w:rPr>
        <w:t xml:space="preserve"> </w:t>
      </w:r>
      <w:r w:rsidRPr="00A21A68">
        <w:rPr>
          <w:i/>
          <w:sz w:val="22"/>
          <w:szCs w:val="22"/>
        </w:rPr>
        <w:t xml:space="preserve"> </w:t>
      </w:r>
      <w:proofErr w:type="spellStart"/>
      <w:r w:rsidRPr="00662B53">
        <w:rPr>
          <w:i/>
          <w:sz w:val="22"/>
          <w:szCs w:val="22"/>
          <w:lang w:val="uk-UA"/>
        </w:rPr>
        <w:t>Сapital</w:t>
      </w:r>
      <w:proofErr w:type="spellEnd"/>
      <w:r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Pr="00662B53">
        <w:rPr>
          <w:i/>
          <w:sz w:val="22"/>
          <w:szCs w:val="22"/>
          <w:lang w:val="uk-UA"/>
        </w:rPr>
        <w:t>investment</w:t>
      </w:r>
      <w:proofErr w:type="spellEnd"/>
      <w:r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Pr="00662B53">
        <w:rPr>
          <w:i/>
          <w:sz w:val="22"/>
          <w:szCs w:val="22"/>
          <w:lang w:val="uk-UA"/>
        </w:rPr>
        <w:t>in</w:t>
      </w:r>
      <w:proofErr w:type="spellEnd"/>
      <w:r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Pr="00662B53">
        <w:rPr>
          <w:i/>
          <w:sz w:val="22"/>
          <w:szCs w:val="22"/>
          <w:lang w:val="uk-UA"/>
        </w:rPr>
        <w:t>residential</w:t>
      </w:r>
      <w:proofErr w:type="spellEnd"/>
      <w:r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Pr="00662B53">
        <w:rPr>
          <w:i/>
          <w:sz w:val="22"/>
          <w:szCs w:val="22"/>
          <w:lang w:val="uk-UA"/>
        </w:rPr>
        <w:t>construction</w:t>
      </w:r>
      <w:proofErr w:type="spellEnd"/>
      <w:r w:rsidRPr="00662B53">
        <w:rPr>
          <w:i/>
          <w:sz w:val="22"/>
          <w:szCs w:val="22"/>
          <w:lang w:val="uk-UA"/>
        </w:rPr>
        <w:t xml:space="preserve">, </w:t>
      </w:r>
      <w:proofErr w:type="spellStart"/>
      <w:r w:rsidRPr="00662B53">
        <w:rPr>
          <w:i/>
          <w:sz w:val="22"/>
          <w:szCs w:val="22"/>
          <w:lang w:val="uk-UA"/>
        </w:rPr>
        <w:t>by</w:t>
      </w:r>
      <w:proofErr w:type="spellEnd"/>
      <w:r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Pr="00662B53">
        <w:rPr>
          <w:i/>
          <w:sz w:val="22"/>
          <w:szCs w:val="22"/>
          <w:lang w:val="uk-UA"/>
        </w:rPr>
        <w:t>region</w:t>
      </w:r>
      <w:proofErr w:type="spellEnd"/>
      <w:r w:rsidR="00002C0F">
        <w:rPr>
          <w:i/>
          <w:sz w:val="22"/>
          <w:szCs w:val="22"/>
          <w:lang w:val="en-US"/>
        </w:rPr>
        <w:t>s</w:t>
      </w:r>
    </w:p>
    <w:p w:rsidR="00662B53" w:rsidRPr="00662B53" w:rsidRDefault="00662B53" w:rsidP="00B9774B">
      <w:pPr>
        <w:rPr>
          <w:i/>
          <w:sz w:val="22"/>
          <w:szCs w:val="22"/>
          <w:lang w:val="uk-UA"/>
        </w:rPr>
      </w:pPr>
    </w:p>
    <w:p w:rsidR="00B9774B" w:rsidRDefault="00B9774B" w:rsidP="00662B53">
      <w:pPr>
        <w:ind w:right="-569"/>
        <w:jc w:val="both"/>
        <w:rPr>
          <w:i/>
          <w:sz w:val="24"/>
          <w:szCs w:val="24"/>
          <w:lang w:val="uk-UA"/>
        </w:rPr>
      </w:pPr>
      <w:r w:rsidRPr="00C030F1">
        <w:rPr>
          <w:sz w:val="24"/>
          <w:szCs w:val="24"/>
          <w:lang w:val="uk-UA"/>
        </w:rPr>
        <w:t xml:space="preserve">                                                           </w:t>
      </w:r>
      <w:r w:rsidR="00662B53">
        <w:rPr>
          <w:sz w:val="24"/>
          <w:szCs w:val="24"/>
          <w:lang w:val="en-US"/>
        </w:rPr>
        <w:t xml:space="preserve">       </w:t>
      </w:r>
      <w:r w:rsidRPr="00C030F1">
        <w:rPr>
          <w:i/>
          <w:sz w:val="24"/>
          <w:szCs w:val="24"/>
          <w:lang w:val="uk-UA"/>
        </w:rPr>
        <w:t xml:space="preserve">(у фактичних цінах, </w:t>
      </w:r>
      <w:proofErr w:type="spellStart"/>
      <w:r w:rsidRPr="00C030F1">
        <w:rPr>
          <w:i/>
          <w:sz w:val="24"/>
          <w:szCs w:val="24"/>
          <w:lang w:val="uk-UA"/>
        </w:rPr>
        <w:t>млн.грн</w:t>
      </w:r>
      <w:proofErr w:type="spellEnd"/>
      <w:r w:rsidRPr="00C030F1">
        <w:rPr>
          <w:i/>
          <w:sz w:val="24"/>
          <w:szCs w:val="24"/>
          <w:lang w:val="uk-UA"/>
        </w:rPr>
        <w:t>.</w:t>
      </w:r>
      <w:r w:rsidR="00662B53">
        <w:rPr>
          <w:i/>
          <w:sz w:val="24"/>
          <w:szCs w:val="24"/>
          <w:lang w:val="en-US"/>
        </w:rPr>
        <w:t xml:space="preserve">/ </w:t>
      </w:r>
      <w:proofErr w:type="spellStart"/>
      <w:r w:rsidR="00662B53" w:rsidRPr="00662B53">
        <w:rPr>
          <w:i/>
          <w:sz w:val="22"/>
          <w:szCs w:val="22"/>
          <w:lang w:val="uk-UA"/>
        </w:rPr>
        <w:t>at</w:t>
      </w:r>
      <w:proofErr w:type="spellEnd"/>
      <w:r w:rsidR="00662B53"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="00662B53" w:rsidRPr="00662B53">
        <w:rPr>
          <w:i/>
          <w:sz w:val="22"/>
          <w:szCs w:val="22"/>
          <w:lang w:val="uk-UA"/>
        </w:rPr>
        <w:t>current</w:t>
      </w:r>
      <w:proofErr w:type="spellEnd"/>
      <w:r w:rsidR="00662B53" w:rsidRPr="00662B53">
        <w:rPr>
          <w:i/>
          <w:sz w:val="22"/>
          <w:szCs w:val="22"/>
          <w:lang w:val="uk-UA"/>
        </w:rPr>
        <w:t xml:space="preserve"> </w:t>
      </w:r>
      <w:proofErr w:type="spellStart"/>
      <w:r w:rsidR="00662B53" w:rsidRPr="00662B53">
        <w:rPr>
          <w:i/>
          <w:sz w:val="22"/>
          <w:szCs w:val="22"/>
          <w:lang w:val="uk-UA"/>
        </w:rPr>
        <w:t>prices</w:t>
      </w:r>
      <w:proofErr w:type="spellEnd"/>
      <w:r w:rsidR="00662B53" w:rsidRPr="00662B53">
        <w:rPr>
          <w:i/>
          <w:sz w:val="22"/>
          <w:szCs w:val="22"/>
          <w:lang w:val="uk-UA"/>
        </w:rPr>
        <w:t xml:space="preserve">; </w:t>
      </w:r>
      <w:proofErr w:type="spellStart"/>
      <w:r w:rsidR="00662B53" w:rsidRPr="00662B53">
        <w:rPr>
          <w:i/>
          <w:sz w:val="22"/>
          <w:szCs w:val="22"/>
          <w:lang w:val="uk-UA"/>
        </w:rPr>
        <w:t>mln</w:t>
      </w:r>
      <w:proofErr w:type="spellEnd"/>
      <w:r w:rsidR="00662B53" w:rsidRPr="00662B53">
        <w:rPr>
          <w:i/>
          <w:sz w:val="22"/>
          <w:szCs w:val="22"/>
          <w:lang w:val="uk-UA"/>
        </w:rPr>
        <w:t>. UAH</w:t>
      </w:r>
      <w:r w:rsidRPr="00C030F1">
        <w:rPr>
          <w:i/>
          <w:sz w:val="24"/>
          <w:szCs w:val="24"/>
          <w:lang w:val="uk-UA"/>
        </w:rPr>
        <w:t>)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2448"/>
        <w:gridCol w:w="1408"/>
        <w:gridCol w:w="1408"/>
        <w:gridCol w:w="1408"/>
        <w:gridCol w:w="1408"/>
        <w:gridCol w:w="1559"/>
      </w:tblGrid>
      <w:tr w:rsidR="00493147" w:rsidRPr="00226A71" w:rsidTr="00E80BED">
        <w:tc>
          <w:tcPr>
            <w:tcW w:w="24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3147" w:rsidRPr="00226A71" w:rsidRDefault="00493147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147" w:rsidRPr="00226A71" w:rsidRDefault="00493147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3147" w:rsidRPr="00226A71" w:rsidRDefault="00493147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3147" w:rsidRPr="00226A71" w:rsidRDefault="00493147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140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3147" w:rsidRPr="00226A71" w:rsidRDefault="00493147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93147" w:rsidRPr="00A547A9" w:rsidRDefault="00493147" w:rsidP="00E80BED">
            <w:pPr>
              <w:spacing w:before="60" w:after="60"/>
              <w:jc w:val="center"/>
              <w:rPr>
                <w:b/>
                <w:i/>
                <w:kern w:val="2"/>
                <w:sz w:val="18"/>
                <w:szCs w:val="18"/>
                <w:lang w:val="uk-UA"/>
              </w:rPr>
            </w:pPr>
          </w:p>
        </w:tc>
      </w:tr>
      <w:tr w:rsidR="00493147" w:rsidRPr="005A6375" w:rsidTr="00E80BED">
        <w:tc>
          <w:tcPr>
            <w:tcW w:w="2448" w:type="dxa"/>
            <w:tcBorders>
              <w:top w:val="single" w:sz="6" w:space="0" w:color="auto"/>
              <w:right w:val="single" w:sz="4" w:space="0" w:color="auto"/>
            </w:tcBorders>
          </w:tcPr>
          <w:p w:rsidR="00493147" w:rsidRPr="005A6375" w:rsidRDefault="00493147" w:rsidP="00493147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408" w:type="dxa"/>
            <w:tcBorders>
              <w:left w:val="single" w:sz="4" w:space="0" w:color="auto"/>
              <w:right w:val="nil"/>
            </w:tcBorders>
          </w:tcPr>
          <w:p w:rsidR="00493147" w:rsidRPr="005A6375" w:rsidRDefault="00493147" w:rsidP="00493147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8" w:type="dxa"/>
          </w:tcPr>
          <w:p w:rsidR="00493147" w:rsidRPr="005A6375" w:rsidRDefault="00493147" w:rsidP="00493147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8" w:type="dxa"/>
          </w:tcPr>
          <w:p w:rsidR="00493147" w:rsidRPr="005A6375" w:rsidRDefault="00493147" w:rsidP="00493147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8" w:type="dxa"/>
            <w:tcBorders>
              <w:right w:val="single" w:sz="6" w:space="0" w:color="auto"/>
            </w:tcBorders>
          </w:tcPr>
          <w:p w:rsidR="00493147" w:rsidRPr="005A6375" w:rsidRDefault="00493147" w:rsidP="00493147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493147" w:rsidRPr="00EB386E" w:rsidRDefault="00493147" w:rsidP="00493147">
            <w:pPr>
              <w:spacing w:line="343" w:lineRule="auto"/>
              <w:jc w:val="right"/>
              <w:rPr>
                <w:i/>
                <w:kern w:val="2"/>
                <w:szCs w:val="18"/>
                <w:lang w:val="uk-UA"/>
              </w:rPr>
            </w:pPr>
          </w:p>
        </w:tc>
      </w:tr>
      <w:tr w:rsidR="00662B53" w:rsidRPr="001A6FE5" w:rsidTr="00E80BED">
        <w:tc>
          <w:tcPr>
            <w:tcW w:w="2448" w:type="dxa"/>
            <w:tcBorders>
              <w:right w:val="single" w:sz="4" w:space="0" w:color="auto"/>
            </w:tcBorders>
          </w:tcPr>
          <w:p w:rsidR="00662B53" w:rsidRPr="005A6375" w:rsidRDefault="00662B53" w:rsidP="00662B53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bCs/>
                <w:color w:val="000000"/>
                <w:sz w:val="24"/>
                <w:szCs w:val="24"/>
              </w:rPr>
              <w:t>28736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009B">
              <w:rPr>
                <w:b/>
                <w:bCs/>
                <w:color w:val="000000"/>
                <w:sz w:val="24"/>
                <w:szCs w:val="24"/>
              </w:rPr>
              <w:t>29557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009B">
              <w:rPr>
                <w:b/>
                <w:bCs/>
                <w:color w:val="000000"/>
                <w:sz w:val="24"/>
                <w:szCs w:val="24"/>
              </w:rPr>
              <w:t>38549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D009B">
              <w:rPr>
                <w:b/>
                <w:bCs/>
                <w:color w:val="000000"/>
                <w:sz w:val="24"/>
                <w:szCs w:val="24"/>
              </w:rPr>
              <w:t>41567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662B53" w:rsidRPr="00EB386E" w:rsidRDefault="00662B53" w:rsidP="00662B53">
            <w:pPr>
              <w:spacing w:line="343" w:lineRule="auto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</w:tc>
      </w:tr>
      <w:tr w:rsidR="00662B53" w:rsidRPr="001A6FE5" w:rsidTr="00E80BED">
        <w:tc>
          <w:tcPr>
            <w:tcW w:w="2448" w:type="dxa"/>
            <w:tcBorders>
              <w:right w:val="single" w:sz="4" w:space="0" w:color="auto"/>
            </w:tcBorders>
          </w:tcPr>
          <w:p w:rsidR="00662B53" w:rsidRPr="005A6375" w:rsidRDefault="00662B53" w:rsidP="00662B53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662B53" w:rsidRPr="003D009B" w:rsidRDefault="00662B53" w:rsidP="00662B5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662B53" w:rsidRPr="00EB386E" w:rsidRDefault="00662B53" w:rsidP="00662B53">
            <w:pPr>
              <w:autoSpaceDE w:val="0"/>
              <w:autoSpaceDN w:val="0"/>
              <w:adjustRightInd w:val="0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Autonomous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2130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2202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3105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4144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220" w:lineRule="exact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Republic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of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Crimea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1031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1028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1256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589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889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710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884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790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953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1025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1257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1715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1738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454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403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461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1059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1083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471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1151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1490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1679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3512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3258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4116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4446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238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458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1582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1888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2316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2262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1573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1887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2439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1733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560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506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675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555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747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832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958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513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641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648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1116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1045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974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861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1579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429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386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796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624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1111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433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405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391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723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1333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1291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408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448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cities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5846</w:t>
            </w: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6889</w:t>
            </w:r>
          </w:p>
        </w:tc>
        <w:tc>
          <w:tcPr>
            <w:tcW w:w="14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7478</w:t>
            </w:r>
          </w:p>
        </w:tc>
        <w:tc>
          <w:tcPr>
            <w:tcW w:w="1408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9447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D23F38" w:rsidRPr="005A6375" w:rsidTr="00E80BED">
        <w:tc>
          <w:tcPr>
            <w:tcW w:w="2448" w:type="dxa"/>
            <w:tcBorders>
              <w:bottom w:val="single" w:sz="4" w:space="0" w:color="auto"/>
              <w:right w:val="single" w:sz="4" w:space="0" w:color="auto"/>
            </w:tcBorders>
          </w:tcPr>
          <w:p w:rsidR="00D23F38" w:rsidRPr="005A6375" w:rsidRDefault="00D23F38" w:rsidP="00D23F38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1187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3F38" w:rsidRPr="003D009B" w:rsidRDefault="00D23F38" w:rsidP="00D23F38">
            <w:pPr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1295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</w:tcBorders>
          </w:tcPr>
          <w:p w:rsidR="00D23F38" w:rsidRPr="00EB386E" w:rsidRDefault="00D23F38" w:rsidP="00D23F38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Sevastopol</w:t>
            </w:r>
            <w:proofErr w:type="spellEnd"/>
          </w:p>
        </w:tc>
      </w:tr>
    </w:tbl>
    <w:p w:rsidR="00E80BED" w:rsidRDefault="00E80BED" w:rsidP="00B9774B">
      <w:pPr>
        <w:jc w:val="both"/>
        <w:rPr>
          <w:sz w:val="24"/>
          <w:szCs w:val="24"/>
          <w:lang w:val="uk-UA"/>
        </w:rPr>
      </w:pPr>
    </w:p>
    <w:p w:rsidR="00E80BED" w:rsidRPr="00E80BED" w:rsidRDefault="00E80BED" w:rsidP="00E80BED">
      <w:pPr>
        <w:rPr>
          <w:sz w:val="24"/>
          <w:szCs w:val="24"/>
          <w:lang w:val="uk-UA"/>
        </w:rPr>
      </w:pPr>
    </w:p>
    <w:p w:rsidR="001B4660" w:rsidRDefault="00B9774B" w:rsidP="00B9774B">
      <w:pPr>
        <w:pStyle w:val="1"/>
        <w:jc w:val="left"/>
      </w:pPr>
      <w:r w:rsidRPr="00C030F1">
        <w:lastRenderedPageBreak/>
        <w:t xml:space="preserve">1.4. </w:t>
      </w:r>
      <w:r w:rsidR="001B4660">
        <w:t xml:space="preserve"> </w:t>
      </w:r>
      <w:r w:rsidRPr="00C030F1">
        <w:t xml:space="preserve">Індекси </w:t>
      </w:r>
      <w:r w:rsidR="008F1B13">
        <w:t>капітальних</w:t>
      </w:r>
      <w:r w:rsidR="008F1B13" w:rsidRPr="00C030F1">
        <w:t xml:space="preserve"> </w:t>
      </w:r>
      <w:r w:rsidRPr="00C030F1">
        <w:t>інвестицій у житлове будівництво</w:t>
      </w:r>
    </w:p>
    <w:p w:rsidR="00B9774B" w:rsidRDefault="001B4660" w:rsidP="00B9774B">
      <w:pPr>
        <w:pStyle w:val="1"/>
        <w:jc w:val="left"/>
      </w:pPr>
      <w:r>
        <w:t xml:space="preserve">       </w:t>
      </w:r>
      <w:r w:rsidR="00B9774B" w:rsidRPr="00C030F1">
        <w:t xml:space="preserve"> </w:t>
      </w:r>
      <w:r w:rsidR="00B9774B">
        <w:t>за регіонами</w:t>
      </w:r>
    </w:p>
    <w:p w:rsidR="00B9774B" w:rsidRPr="00002C0F" w:rsidRDefault="00060CBF" w:rsidP="00060CBF">
      <w:pPr>
        <w:jc w:val="both"/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</w:pPr>
      <w:r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        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Indices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r w:rsidR="0059775B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of</w:t>
      </w:r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capital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investment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residential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construction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,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by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region</w:t>
      </w:r>
      <w:proofErr w:type="spellEnd"/>
      <w:r w:rsidR="00002C0F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s</w:t>
      </w:r>
    </w:p>
    <w:p w:rsidR="00EF51FD" w:rsidRPr="00060CBF" w:rsidRDefault="00EF51FD" w:rsidP="00060CBF">
      <w:pPr>
        <w:jc w:val="both"/>
        <w:rPr>
          <w:i/>
          <w:sz w:val="22"/>
          <w:szCs w:val="22"/>
          <w:lang w:val="uk-UA"/>
        </w:rPr>
      </w:pPr>
    </w:p>
    <w:p w:rsidR="00B9774B" w:rsidRDefault="00B9774B" w:rsidP="00060CBF">
      <w:pPr>
        <w:spacing w:line="240" w:lineRule="atLeast"/>
        <w:ind w:right="-569"/>
        <w:jc w:val="both"/>
        <w:rPr>
          <w:i/>
          <w:sz w:val="24"/>
          <w:lang w:val="uk-UA"/>
        </w:rPr>
      </w:pPr>
      <w:r w:rsidRPr="00C030F1">
        <w:rPr>
          <w:i/>
          <w:sz w:val="24"/>
          <w:lang w:val="uk-UA"/>
        </w:rPr>
        <w:t xml:space="preserve">                                               </w:t>
      </w:r>
      <w:r w:rsidR="00060CBF">
        <w:rPr>
          <w:i/>
          <w:sz w:val="24"/>
          <w:lang w:val="en-US"/>
        </w:rPr>
        <w:t xml:space="preserve">      </w:t>
      </w:r>
      <w:r w:rsidRPr="00C030F1">
        <w:rPr>
          <w:i/>
          <w:sz w:val="24"/>
          <w:lang w:val="uk-UA"/>
        </w:rPr>
        <w:t xml:space="preserve">   (у відсотках до попереднього року</w:t>
      </w:r>
      <w:r w:rsidR="00060CBF" w:rsidRPr="00060CBF">
        <w:rPr>
          <w:i/>
          <w:sz w:val="24"/>
          <w:lang w:val="en-US"/>
        </w:rPr>
        <w:t xml:space="preserve"> / </w:t>
      </w:r>
      <w:proofErr w:type="spellStart"/>
      <w:r w:rsidR="00060CBF" w:rsidRPr="00060CBF">
        <w:rPr>
          <w:i/>
          <w:iCs/>
          <w:sz w:val="22"/>
          <w:szCs w:val="22"/>
          <w:lang w:val="uk-UA" w:eastAsia="uk-UA"/>
        </w:rPr>
        <w:t>percent</w:t>
      </w:r>
      <w:proofErr w:type="spellEnd"/>
      <w:r w:rsidR="00060CBF" w:rsidRPr="00060CBF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="00060CBF" w:rsidRPr="00060CBF">
        <w:rPr>
          <w:i/>
          <w:iCs/>
          <w:sz w:val="22"/>
          <w:szCs w:val="22"/>
          <w:lang w:val="uk-UA" w:eastAsia="uk-UA"/>
        </w:rPr>
        <w:t>of</w:t>
      </w:r>
      <w:proofErr w:type="spellEnd"/>
      <w:r w:rsidR="00060CBF" w:rsidRPr="00060CBF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="00060CBF" w:rsidRPr="00060CBF">
        <w:rPr>
          <w:i/>
          <w:iCs/>
          <w:sz w:val="22"/>
          <w:szCs w:val="22"/>
          <w:lang w:val="uk-UA" w:eastAsia="uk-UA"/>
        </w:rPr>
        <w:t>the</w:t>
      </w:r>
      <w:proofErr w:type="spellEnd"/>
      <w:r w:rsidR="00060CBF" w:rsidRPr="00060CBF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="00060CBF" w:rsidRPr="00060CBF">
        <w:rPr>
          <w:i/>
          <w:iCs/>
          <w:sz w:val="22"/>
          <w:szCs w:val="22"/>
          <w:lang w:val="uk-UA" w:eastAsia="uk-UA"/>
        </w:rPr>
        <w:t>previous</w:t>
      </w:r>
      <w:proofErr w:type="spellEnd"/>
      <w:r w:rsidR="00060CBF" w:rsidRPr="00060CBF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="00060CBF" w:rsidRPr="00060CBF">
        <w:rPr>
          <w:i/>
          <w:iCs/>
          <w:sz w:val="22"/>
          <w:szCs w:val="22"/>
          <w:lang w:val="uk-UA" w:eastAsia="uk-UA"/>
        </w:rPr>
        <w:t>year</w:t>
      </w:r>
      <w:proofErr w:type="spellEnd"/>
      <w:r w:rsidRPr="00C030F1">
        <w:rPr>
          <w:i/>
          <w:sz w:val="24"/>
          <w:lang w:val="uk-UA"/>
        </w:rPr>
        <w:t>)</w:t>
      </w:r>
    </w:p>
    <w:tbl>
      <w:tblPr>
        <w:tblW w:w="9592" w:type="dxa"/>
        <w:tblLayout w:type="fixed"/>
        <w:tblLook w:val="0000" w:firstRow="0" w:lastRow="0" w:firstColumn="0" w:lastColumn="0" w:noHBand="0" w:noVBand="0"/>
      </w:tblPr>
      <w:tblGrid>
        <w:gridCol w:w="2436"/>
        <w:gridCol w:w="1868"/>
        <w:gridCol w:w="1868"/>
        <w:gridCol w:w="1869"/>
        <w:gridCol w:w="1551"/>
      </w:tblGrid>
      <w:tr w:rsidR="00060CBF" w:rsidRPr="00226A71" w:rsidTr="00AC2582">
        <w:trPr>
          <w:trHeight w:val="392"/>
        </w:trPr>
        <w:tc>
          <w:tcPr>
            <w:tcW w:w="243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0CBF" w:rsidRPr="00226A71" w:rsidRDefault="00060CBF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8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0CBF" w:rsidRPr="00226A71" w:rsidRDefault="00060CBF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8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0CBF" w:rsidRPr="00226A71" w:rsidRDefault="00060CBF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186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60CBF" w:rsidRPr="00226A71" w:rsidRDefault="00060CBF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0CBF" w:rsidRPr="00A547A9" w:rsidRDefault="00060CBF" w:rsidP="00E80BED">
            <w:pPr>
              <w:spacing w:before="60" w:after="60"/>
              <w:jc w:val="center"/>
              <w:rPr>
                <w:b/>
                <w:i/>
                <w:kern w:val="2"/>
                <w:sz w:val="18"/>
                <w:szCs w:val="18"/>
                <w:lang w:val="uk-UA"/>
              </w:rPr>
            </w:pPr>
          </w:p>
        </w:tc>
      </w:tr>
      <w:tr w:rsidR="00060CBF" w:rsidRPr="005A6375" w:rsidTr="00AC2582">
        <w:trPr>
          <w:trHeight w:val="332"/>
        </w:trPr>
        <w:tc>
          <w:tcPr>
            <w:tcW w:w="2436" w:type="dxa"/>
            <w:tcBorders>
              <w:top w:val="single" w:sz="6" w:space="0" w:color="auto"/>
              <w:right w:val="single" w:sz="4" w:space="0" w:color="auto"/>
            </w:tcBorders>
          </w:tcPr>
          <w:p w:rsidR="00060CBF" w:rsidRPr="005A6375" w:rsidRDefault="00060CBF" w:rsidP="000D481D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5A6375" w:rsidRDefault="00060CBF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868" w:type="dxa"/>
          </w:tcPr>
          <w:p w:rsidR="00060CBF" w:rsidRPr="005A6375" w:rsidRDefault="00060CBF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869" w:type="dxa"/>
            <w:tcBorders>
              <w:right w:val="single" w:sz="6" w:space="0" w:color="auto"/>
            </w:tcBorders>
          </w:tcPr>
          <w:p w:rsidR="00060CBF" w:rsidRPr="005A6375" w:rsidRDefault="00060CBF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D481D">
            <w:pPr>
              <w:spacing w:line="343" w:lineRule="auto"/>
              <w:jc w:val="right"/>
              <w:rPr>
                <w:i/>
                <w:kern w:val="2"/>
                <w:szCs w:val="18"/>
                <w:lang w:val="uk-UA"/>
              </w:rPr>
            </w:pPr>
          </w:p>
        </w:tc>
      </w:tr>
      <w:tr w:rsidR="00060CBF" w:rsidRPr="001A6FE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b/>
                <w:color w:val="000000"/>
                <w:sz w:val="24"/>
                <w:szCs w:val="24"/>
              </w:rPr>
            </w:pPr>
            <w:r w:rsidRPr="003D009B">
              <w:rPr>
                <w:b/>
                <w:color w:val="000000"/>
                <w:sz w:val="24"/>
                <w:szCs w:val="24"/>
              </w:rPr>
              <w:t>85,6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b/>
                <w:color w:val="000000"/>
                <w:sz w:val="24"/>
                <w:szCs w:val="24"/>
              </w:rPr>
            </w:pPr>
            <w:r w:rsidRPr="003D009B">
              <w:rPr>
                <w:b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060CBF">
            <w:pPr>
              <w:ind w:right="140"/>
              <w:jc w:val="righ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3D009B">
              <w:rPr>
                <w:b/>
                <w:bCs/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</w:tc>
      </w:tr>
      <w:tr w:rsidR="00060CBF" w:rsidRPr="001A6FE5" w:rsidTr="00AC2582">
        <w:trPr>
          <w:trHeight w:val="271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bottom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Align w:val="bottom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bottom"/>
          </w:tcPr>
          <w:p w:rsidR="00060CBF" w:rsidRPr="003D009B" w:rsidRDefault="00060CBF" w:rsidP="00060CBF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autoSpaceDE w:val="0"/>
              <w:autoSpaceDN w:val="0"/>
              <w:adjustRightInd w:val="0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Autonomous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</w:p>
        </w:tc>
      </w:tr>
      <w:tr w:rsidR="00060CBF" w:rsidRPr="005A6375" w:rsidTr="00AC2582">
        <w:trPr>
          <w:trHeight w:val="43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90,2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132,6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125,3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220" w:lineRule="exact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Republic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of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Crimea</w:t>
            </w:r>
            <w:proofErr w:type="spellEnd"/>
          </w:p>
        </w:tc>
      </w:tr>
      <w:tr w:rsidR="00060CBF" w:rsidRPr="005A6375" w:rsidTr="00AC2582">
        <w:trPr>
          <w:trHeight w:val="33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868" w:type="dxa"/>
            <w:tcBorders>
              <w:left w:val="single" w:sz="4" w:space="0" w:color="auto"/>
            </w:tcBorders>
            <w:vAlign w:val="bottom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  <w:vAlign w:val="bottom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93,2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135,6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74,7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74,1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110,3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125,1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67,4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105,5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117,9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374,1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70,9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115,7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104,5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113,2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77,6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120,1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71,9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146,8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96,2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114,5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91,5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81,0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98,3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109,8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112,4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116,8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107,1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108,4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72,1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129,3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65,1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73,1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153,4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75,1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152,2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112,1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87,1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67,5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128,4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109,6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54,6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121,9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91,9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  <w:proofErr w:type="spellEnd"/>
          </w:p>
        </w:tc>
      </w:tr>
      <w:tr w:rsidR="00060CBF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82,1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165,8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  <w:proofErr w:type="spellEnd"/>
          </w:p>
        </w:tc>
      </w:tr>
      <w:tr w:rsidR="00060CBF" w:rsidRPr="005A6375" w:rsidTr="00AC2582">
        <w:trPr>
          <w:trHeight w:val="36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134,8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  <w:proofErr w:type="spellEnd"/>
          </w:p>
        </w:tc>
      </w:tr>
      <w:tr w:rsidR="00060CBF" w:rsidRPr="005A6375" w:rsidTr="00AC2582">
        <w:trPr>
          <w:trHeight w:val="332"/>
        </w:trPr>
        <w:tc>
          <w:tcPr>
            <w:tcW w:w="2436" w:type="dxa"/>
            <w:tcBorders>
              <w:right w:val="single" w:sz="4" w:space="0" w:color="auto"/>
            </w:tcBorders>
          </w:tcPr>
          <w:p w:rsidR="00060CBF" w:rsidRPr="005A6375" w:rsidRDefault="00060CBF" w:rsidP="00060CBF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8" w:type="dxa"/>
          </w:tcPr>
          <w:p w:rsidR="00060CBF" w:rsidRPr="003D009B" w:rsidRDefault="00060CBF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69" w:type="dxa"/>
            <w:tcBorders>
              <w:right w:val="single" w:sz="6" w:space="0" w:color="auto"/>
            </w:tcBorders>
          </w:tcPr>
          <w:p w:rsidR="00060CBF" w:rsidRPr="003D009B" w:rsidRDefault="00060CBF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060CBF" w:rsidRPr="00EB386E" w:rsidRDefault="00060CBF" w:rsidP="00060CBF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cities</w:t>
            </w:r>
            <w:proofErr w:type="spellEnd"/>
          </w:p>
        </w:tc>
      </w:tr>
      <w:tr w:rsidR="00EF51FD" w:rsidRPr="005A6375" w:rsidTr="00AC2582">
        <w:trPr>
          <w:trHeight w:val="377"/>
        </w:trPr>
        <w:tc>
          <w:tcPr>
            <w:tcW w:w="2436" w:type="dxa"/>
            <w:tcBorders>
              <w:right w:val="single" w:sz="4" w:space="0" w:color="auto"/>
            </w:tcBorders>
          </w:tcPr>
          <w:p w:rsidR="00EF51FD" w:rsidRPr="005A6375" w:rsidRDefault="00EF51FD" w:rsidP="00EF51FD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868" w:type="dxa"/>
            <w:tcBorders>
              <w:left w:val="single" w:sz="4" w:space="0" w:color="auto"/>
            </w:tcBorders>
          </w:tcPr>
          <w:p w:rsidR="00EF51FD" w:rsidRPr="003D009B" w:rsidRDefault="00EF51FD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868" w:type="dxa"/>
          </w:tcPr>
          <w:p w:rsidR="00EF51FD" w:rsidRPr="003D009B" w:rsidRDefault="00EF51FD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90,7</w:t>
            </w:r>
          </w:p>
        </w:tc>
        <w:tc>
          <w:tcPr>
            <w:tcW w:w="1869" w:type="dxa"/>
            <w:tcBorders>
              <w:right w:val="single" w:sz="6" w:space="0" w:color="auto"/>
            </w:tcBorders>
          </w:tcPr>
          <w:p w:rsidR="00EF51FD" w:rsidRPr="003D009B" w:rsidRDefault="00EF51FD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139,3</w:t>
            </w:r>
          </w:p>
        </w:tc>
        <w:tc>
          <w:tcPr>
            <w:tcW w:w="1551" w:type="dxa"/>
            <w:tcBorders>
              <w:left w:val="single" w:sz="6" w:space="0" w:color="auto"/>
            </w:tcBorders>
          </w:tcPr>
          <w:p w:rsidR="00EF51FD" w:rsidRPr="00EB386E" w:rsidRDefault="00EF51FD" w:rsidP="00EF51FD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EF51FD" w:rsidRPr="005A6375" w:rsidTr="00AC2582">
        <w:trPr>
          <w:trHeight w:val="362"/>
        </w:trPr>
        <w:tc>
          <w:tcPr>
            <w:tcW w:w="2436" w:type="dxa"/>
            <w:tcBorders>
              <w:bottom w:val="single" w:sz="4" w:space="0" w:color="auto"/>
              <w:right w:val="single" w:sz="4" w:space="0" w:color="auto"/>
            </w:tcBorders>
          </w:tcPr>
          <w:p w:rsidR="00EF51FD" w:rsidRPr="005A6375" w:rsidRDefault="00EF51FD" w:rsidP="00EF51FD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auto"/>
            </w:tcBorders>
          </w:tcPr>
          <w:p w:rsidR="00EF51FD" w:rsidRPr="003D009B" w:rsidRDefault="00EF51FD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75,5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:rsidR="00EF51FD" w:rsidRPr="003D009B" w:rsidRDefault="00EF51FD" w:rsidP="00EF51FD">
            <w:pPr>
              <w:ind w:right="142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132,6</w:t>
            </w:r>
          </w:p>
        </w:tc>
        <w:tc>
          <w:tcPr>
            <w:tcW w:w="1869" w:type="dxa"/>
            <w:tcBorders>
              <w:bottom w:val="single" w:sz="4" w:space="0" w:color="auto"/>
              <w:right w:val="single" w:sz="6" w:space="0" w:color="auto"/>
            </w:tcBorders>
          </w:tcPr>
          <w:p w:rsidR="00EF51FD" w:rsidRPr="003D009B" w:rsidRDefault="00EF51FD" w:rsidP="00EF51FD">
            <w:pPr>
              <w:ind w:right="1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551" w:type="dxa"/>
            <w:tcBorders>
              <w:left w:val="single" w:sz="6" w:space="0" w:color="auto"/>
              <w:bottom w:val="single" w:sz="4" w:space="0" w:color="auto"/>
            </w:tcBorders>
          </w:tcPr>
          <w:p w:rsidR="00EF51FD" w:rsidRPr="00EB386E" w:rsidRDefault="00EF51FD" w:rsidP="00EF51FD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Sevastopol</w:t>
            </w:r>
            <w:proofErr w:type="spellEnd"/>
          </w:p>
        </w:tc>
      </w:tr>
    </w:tbl>
    <w:p w:rsidR="00B9774B" w:rsidRPr="003E3DC9" w:rsidRDefault="00B9774B" w:rsidP="00B9774B">
      <w:pPr>
        <w:spacing w:line="240" w:lineRule="atLeast"/>
        <w:ind w:right="382"/>
        <w:jc w:val="both"/>
        <w:rPr>
          <w:sz w:val="24"/>
          <w:lang w:val="uk-UA"/>
        </w:rPr>
      </w:pPr>
    </w:p>
    <w:p w:rsidR="00EF51FD" w:rsidRDefault="00B9774B" w:rsidP="00B9774B">
      <w:pPr>
        <w:pStyle w:val="1"/>
        <w:jc w:val="left"/>
        <w:rPr>
          <w:lang w:val="ru-RU"/>
        </w:rPr>
      </w:pPr>
      <w:r>
        <w:t xml:space="preserve">1.5.  Індекси </w:t>
      </w:r>
      <w:r w:rsidR="008F1B13">
        <w:t xml:space="preserve">капітальних </w:t>
      </w:r>
      <w:r>
        <w:t xml:space="preserve">інвестицій у житлове будівництво </w:t>
      </w:r>
      <w:r w:rsidR="000E775A">
        <w:t>за</w:t>
      </w:r>
    </w:p>
    <w:p w:rsidR="00B9774B" w:rsidRPr="0067698D" w:rsidRDefault="00EF51FD" w:rsidP="00B9774B">
      <w:pPr>
        <w:pStyle w:val="1"/>
        <w:jc w:val="left"/>
        <w:rPr>
          <w:b w:val="0"/>
          <w:sz w:val="24"/>
          <w:szCs w:val="24"/>
        </w:rPr>
      </w:pPr>
      <w:r w:rsidRPr="00EF51FD">
        <w:rPr>
          <w:lang w:val="ru-RU"/>
        </w:rPr>
        <w:t xml:space="preserve">        </w:t>
      </w:r>
      <w:r w:rsidR="000E775A">
        <w:t xml:space="preserve">регіонами </w:t>
      </w:r>
      <w:r w:rsidR="00B9774B">
        <w:t>у 201</w:t>
      </w:r>
      <w:r w:rsidR="008F1B13">
        <w:t>3</w:t>
      </w:r>
      <w:r w:rsidR="002B6ABB">
        <w:t xml:space="preserve"> </w:t>
      </w:r>
      <w:r w:rsidR="00B9774B">
        <w:t xml:space="preserve">році </w:t>
      </w:r>
    </w:p>
    <w:p w:rsidR="00EF51FD" w:rsidRDefault="00EF51FD" w:rsidP="00EF51FD">
      <w:pPr>
        <w:jc w:val="both"/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</w:pPr>
      <w:r w:rsidRPr="00EF51FD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        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Indices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for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capital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investment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residential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construction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,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by</w:t>
      </w:r>
      <w:proofErr w:type="spellEnd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</w:t>
      </w:r>
      <w:proofErr w:type="spellStart"/>
      <w:r w:rsidRPr="00060CBF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region</w:t>
      </w:r>
      <w:proofErr w:type="spellEnd"/>
      <w:r w:rsidR="00002C0F"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s</w:t>
      </w:r>
      <w:r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 xml:space="preserve"> </w:t>
      </w:r>
      <w:proofErr w:type="spellStart"/>
      <w:r w:rsidRPr="00EF51F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>in</w:t>
      </w:r>
      <w:proofErr w:type="spellEnd"/>
      <w:r w:rsidRPr="00EF51FD">
        <w:rPr>
          <w:rFonts w:ascii="TimesNewRomanPS-BoldMT" w:hAnsi="TimesNewRomanPS-BoldMT" w:cs="TimesNewRomanPS-BoldMT"/>
          <w:bCs/>
          <w:i/>
          <w:sz w:val="22"/>
          <w:szCs w:val="22"/>
          <w:lang w:val="uk-UA" w:eastAsia="uk-UA"/>
        </w:rPr>
        <w:t xml:space="preserve"> 201</w:t>
      </w:r>
      <w:r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  <w:t>3</w:t>
      </w:r>
    </w:p>
    <w:p w:rsidR="003C13D0" w:rsidRDefault="003C13D0" w:rsidP="00EF51FD">
      <w:pPr>
        <w:jc w:val="both"/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</w:pPr>
    </w:p>
    <w:p w:rsidR="003C13D0" w:rsidRDefault="00EF51FD" w:rsidP="003C13D0">
      <w:pPr>
        <w:ind w:right="-569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 </w:t>
      </w:r>
      <w:r w:rsidRPr="00EF51FD">
        <w:rPr>
          <w:sz w:val="24"/>
          <w:szCs w:val="24"/>
          <w:lang w:val="en-US"/>
        </w:rPr>
        <w:t>(</w:t>
      </w:r>
      <w:proofErr w:type="gramStart"/>
      <w:r w:rsidRPr="00EF51FD">
        <w:rPr>
          <w:sz w:val="24"/>
          <w:szCs w:val="24"/>
        </w:rPr>
        <w:t>у</w:t>
      </w:r>
      <w:proofErr w:type="gramEnd"/>
      <w:r w:rsidRPr="00EF51FD">
        <w:rPr>
          <w:sz w:val="24"/>
          <w:szCs w:val="24"/>
          <w:lang w:val="en-US"/>
        </w:rPr>
        <w:t xml:space="preserve"> </w:t>
      </w:r>
      <w:proofErr w:type="spellStart"/>
      <w:r w:rsidRPr="00EF51FD">
        <w:rPr>
          <w:sz w:val="24"/>
          <w:szCs w:val="24"/>
        </w:rPr>
        <w:t>відсотках</w:t>
      </w:r>
      <w:proofErr w:type="spellEnd"/>
      <w:r w:rsidRPr="00EF51FD">
        <w:rPr>
          <w:sz w:val="24"/>
          <w:szCs w:val="24"/>
          <w:lang w:val="en-US"/>
        </w:rPr>
        <w:t xml:space="preserve"> </w:t>
      </w:r>
      <w:r w:rsidRPr="00EF51FD">
        <w:rPr>
          <w:sz w:val="24"/>
          <w:szCs w:val="24"/>
        </w:rPr>
        <w:t>до</w:t>
      </w:r>
      <w:r w:rsidRPr="00EF51FD">
        <w:rPr>
          <w:sz w:val="24"/>
          <w:szCs w:val="24"/>
          <w:lang w:val="en-US"/>
        </w:rPr>
        <w:t xml:space="preserve"> </w:t>
      </w:r>
      <w:proofErr w:type="spellStart"/>
      <w:r w:rsidRPr="00EF51FD">
        <w:rPr>
          <w:sz w:val="24"/>
          <w:szCs w:val="24"/>
        </w:rPr>
        <w:t>попереднього</w:t>
      </w:r>
      <w:proofErr w:type="spellEnd"/>
      <w:r w:rsidRPr="00EF51FD">
        <w:rPr>
          <w:sz w:val="24"/>
          <w:szCs w:val="24"/>
          <w:lang w:val="en-US"/>
        </w:rPr>
        <w:t xml:space="preserve"> </w:t>
      </w:r>
      <w:r w:rsidRPr="00EF51FD">
        <w:rPr>
          <w:sz w:val="24"/>
          <w:szCs w:val="24"/>
        </w:rPr>
        <w:t>року</w:t>
      </w:r>
      <w:r>
        <w:rPr>
          <w:sz w:val="24"/>
          <w:szCs w:val="24"/>
          <w:lang w:val="en-US"/>
        </w:rPr>
        <w:t xml:space="preserve"> / </w:t>
      </w:r>
      <w:proofErr w:type="spellStart"/>
      <w:r w:rsidRPr="00EF51FD">
        <w:rPr>
          <w:i/>
          <w:iCs/>
          <w:sz w:val="22"/>
          <w:szCs w:val="22"/>
          <w:lang w:val="uk-UA" w:eastAsia="uk-UA"/>
        </w:rPr>
        <w:t>percent</w:t>
      </w:r>
      <w:proofErr w:type="spellEnd"/>
      <w:r w:rsidRPr="00EF51FD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Pr="00EF51FD">
        <w:rPr>
          <w:i/>
          <w:iCs/>
          <w:sz w:val="22"/>
          <w:szCs w:val="22"/>
          <w:lang w:val="uk-UA" w:eastAsia="uk-UA"/>
        </w:rPr>
        <w:t>of</w:t>
      </w:r>
      <w:proofErr w:type="spellEnd"/>
      <w:r w:rsidRPr="00EF51FD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Pr="00EF51FD">
        <w:rPr>
          <w:i/>
          <w:iCs/>
          <w:sz w:val="22"/>
          <w:szCs w:val="22"/>
          <w:lang w:val="uk-UA" w:eastAsia="uk-UA"/>
        </w:rPr>
        <w:t>the</w:t>
      </w:r>
      <w:proofErr w:type="spellEnd"/>
      <w:r w:rsidRPr="00EF51FD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Pr="00EF51FD">
        <w:rPr>
          <w:i/>
          <w:iCs/>
          <w:sz w:val="22"/>
          <w:szCs w:val="22"/>
          <w:lang w:val="uk-UA" w:eastAsia="uk-UA"/>
        </w:rPr>
        <w:t>previous</w:t>
      </w:r>
      <w:proofErr w:type="spellEnd"/>
      <w:r w:rsidRPr="00EF51FD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Pr="00EF51FD">
        <w:rPr>
          <w:i/>
          <w:iCs/>
          <w:sz w:val="22"/>
          <w:szCs w:val="22"/>
          <w:lang w:val="uk-UA" w:eastAsia="uk-UA"/>
        </w:rPr>
        <w:t>year</w:t>
      </w:r>
      <w:proofErr w:type="spellEnd"/>
      <w:r w:rsidRPr="00EF51FD">
        <w:rPr>
          <w:sz w:val="24"/>
          <w:szCs w:val="24"/>
          <w:lang w:val="en-US"/>
        </w:rPr>
        <w:t>)</w:t>
      </w:r>
    </w:p>
    <w:p w:rsidR="00EF51FD" w:rsidRPr="00EF51FD" w:rsidRDefault="00EF51FD" w:rsidP="003C13D0">
      <w:pPr>
        <w:jc w:val="right"/>
        <w:rPr>
          <w:rFonts w:ascii="TimesNewRomanPS-BoldMT" w:hAnsi="TimesNewRomanPS-BoldMT" w:cs="TimesNewRomanPS-BoldMT"/>
          <w:bCs/>
          <w:i/>
          <w:sz w:val="22"/>
          <w:szCs w:val="22"/>
          <w:lang w:val="en-US" w:eastAsia="uk-UA"/>
        </w:rPr>
      </w:pPr>
      <w:r w:rsidRPr="00AE0D77">
        <w:rPr>
          <w:noProof/>
          <w:lang w:val="uk-UA" w:eastAsia="uk-UA"/>
        </w:rPr>
        <w:drawing>
          <wp:inline distT="0" distB="0" distL="0" distR="0" wp14:anchorId="1284AB1B" wp14:editId="06A4DBAA">
            <wp:extent cx="5826760" cy="7198468"/>
            <wp:effectExtent l="0" t="0" r="2540" b="2540"/>
            <wp:docPr id="8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9774B" w:rsidRDefault="00B9774B" w:rsidP="00B9774B">
      <w:pPr>
        <w:pStyle w:val="1"/>
        <w:jc w:val="left"/>
      </w:pPr>
    </w:p>
    <w:p w:rsidR="003C13D0" w:rsidRDefault="003C13D0" w:rsidP="003C13D0">
      <w:pPr>
        <w:rPr>
          <w:lang w:val="uk-UA"/>
        </w:rPr>
      </w:pPr>
    </w:p>
    <w:p w:rsidR="003C13D0" w:rsidRPr="003C13D0" w:rsidRDefault="003C13D0" w:rsidP="003C13D0">
      <w:pPr>
        <w:rPr>
          <w:lang w:val="uk-UA"/>
        </w:rPr>
      </w:pPr>
    </w:p>
    <w:p w:rsidR="008F1B13" w:rsidRDefault="00B9774B" w:rsidP="00B9774B">
      <w:pPr>
        <w:pStyle w:val="1"/>
        <w:jc w:val="left"/>
      </w:pPr>
      <w:r w:rsidRPr="00C030F1">
        <w:lastRenderedPageBreak/>
        <w:t>1.6.</w:t>
      </w:r>
      <w:r w:rsidR="001B4660">
        <w:t xml:space="preserve"> </w:t>
      </w:r>
      <w:r w:rsidRPr="00C030F1">
        <w:t xml:space="preserve"> </w:t>
      </w:r>
      <w:r w:rsidR="004B1576">
        <w:t>Питома вага</w:t>
      </w:r>
      <w:r w:rsidRPr="00C030F1">
        <w:t xml:space="preserve"> </w:t>
      </w:r>
      <w:r w:rsidR="008F1B13">
        <w:t>капітальних</w:t>
      </w:r>
      <w:r w:rsidR="008F1B13" w:rsidRPr="00C030F1">
        <w:t xml:space="preserve"> </w:t>
      </w:r>
      <w:r w:rsidRPr="00C030F1">
        <w:t>інвестицій</w:t>
      </w:r>
      <w:r>
        <w:t xml:space="preserve"> </w:t>
      </w:r>
      <w:r w:rsidRPr="00C030F1">
        <w:t>у житлове будівництво</w:t>
      </w:r>
      <w:r w:rsidR="001B4660">
        <w:t xml:space="preserve"> </w:t>
      </w:r>
    </w:p>
    <w:p w:rsidR="00B9774B" w:rsidRDefault="008F1B13" w:rsidP="00B9774B">
      <w:pPr>
        <w:pStyle w:val="1"/>
        <w:jc w:val="left"/>
      </w:pPr>
      <w:r>
        <w:t xml:space="preserve">        </w:t>
      </w:r>
      <w:r w:rsidR="00B9774B">
        <w:t>за регіонами</w:t>
      </w:r>
    </w:p>
    <w:p w:rsidR="00B9774B" w:rsidRDefault="0049783E" w:rsidP="00B9774B">
      <w:pPr>
        <w:rPr>
          <w:rStyle w:val="hps"/>
          <w:i/>
          <w:sz w:val="24"/>
          <w:szCs w:val="24"/>
          <w:lang w:val="en"/>
        </w:rPr>
      </w:pPr>
      <w:r>
        <w:rPr>
          <w:rStyle w:val="hps"/>
          <w:i/>
          <w:sz w:val="24"/>
          <w:szCs w:val="24"/>
          <w:lang w:val="en"/>
        </w:rPr>
        <w:t xml:space="preserve">        </w:t>
      </w:r>
      <w:r w:rsidR="00F45525">
        <w:rPr>
          <w:rStyle w:val="hps"/>
          <w:i/>
          <w:sz w:val="24"/>
          <w:szCs w:val="24"/>
          <w:lang w:val="en"/>
        </w:rPr>
        <w:t xml:space="preserve"> </w:t>
      </w:r>
      <w:r w:rsidRPr="0049783E">
        <w:rPr>
          <w:rStyle w:val="hps"/>
          <w:i/>
          <w:sz w:val="24"/>
          <w:szCs w:val="24"/>
          <w:lang w:val="en"/>
        </w:rPr>
        <w:t>The share of</w:t>
      </w:r>
      <w:r w:rsidRPr="0049783E">
        <w:rPr>
          <w:i/>
          <w:sz w:val="24"/>
          <w:szCs w:val="24"/>
          <w:lang w:val="en"/>
        </w:rPr>
        <w:t xml:space="preserve"> </w:t>
      </w:r>
      <w:r w:rsidRPr="0049783E">
        <w:rPr>
          <w:rStyle w:val="hps"/>
          <w:i/>
          <w:sz w:val="24"/>
          <w:szCs w:val="24"/>
          <w:lang w:val="en"/>
        </w:rPr>
        <w:t>capital investment</w:t>
      </w:r>
      <w:r w:rsidRPr="0049783E">
        <w:rPr>
          <w:i/>
          <w:sz w:val="24"/>
          <w:szCs w:val="24"/>
          <w:lang w:val="en"/>
        </w:rPr>
        <w:t xml:space="preserve"> </w:t>
      </w:r>
      <w:r w:rsidRPr="0049783E">
        <w:rPr>
          <w:rStyle w:val="hps"/>
          <w:i/>
          <w:sz w:val="24"/>
          <w:szCs w:val="24"/>
          <w:lang w:val="en"/>
        </w:rPr>
        <w:t xml:space="preserve">in </w:t>
      </w:r>
      <w:r w:rsidR="00B64AAC" w:rsidRPr="00B64AAC">
        <w:rPr>
          <w:rStyle w:val="hps"/>
          <w:i/>
          <w:sz w:val="24"/>
          <w:szCs w:val="24"/>
          <w:lang w:val="en"/>
        </w:rPr>
        <w:t>residential construction,</w:t>
      </w:r>
      <w:r w:rsidR="00B64AAC">
        <w:rPr>
          <w:rFonts w:ascii="TimesNewRomanPS-BoldMT" w:hAnsi="TimesNewRomanPS-BoldMT" w:cs="TimesNewRomanPS-BoldMT"/>
          <w:b/>
          <w:bCs/>
          <w:lang w:val="uk-UA" w:eastAsia="uk-UA"/>
        </w:rPr>
        <w:t xml:space="preserve"> </w:t>
      </w:r>
      <w:r w:rsidRPr="0049783E">
        <w:rPr>
          <w:rStyle w:val="hps"/>
          <w:i/>
          <w:sz w:val="24"/>
          <w:szCs w:val="24"/>
          <w:lang w:val="en"/>
        </w:rPr>
        <w:t>by region</w:t>
      </w:r>
      <w:r w:rsidR="00002C0F">
        <w:rPr>
          <w:rStyle w:val="hps"/>
          <w:i/>
          <w:sz w:val="24"/>
          <w:szCs w:val="24"/>
          <w:lang w:val="en"/>
        </w:rPr>
        <w:t>s</w:t>
      </w:r>
    </w:p>
    <w:p w:rsidR="00B64AAC" w:rsidRDefault="00B64AAC" w:rsidP="00B9774B">
      <w:pPr>
        <w:rPr>
          <w:rStyle w:val="hps"/>
          <w:i/>
          <w:sz w:val="24"/>
          <w:szCs w:val="24"/>
          <w:lang w:val="en"/>
        </w:rPr>
      </w:pPr>
    </w:p>
    <w:p w:rsidR="00B9774B" w:rsidRDefault="00B9774B" w:rsidP="0049783E">
      <w:pPr>
        <w:spacing w:line="240" w:lineRule="atLeast"/>
        <w:ind w:right="-569"/>
        <w:jc w:val="both"/>
        <w:rPr>
          <w:i/>
          <w:sz w:val="24"/>
          <w:lang w:val="uk-UA"/>
        </w:rPr>
      </w:pPr>
      <w:r w:rsidRPr="00C030F1">
        <w:rPr>
          <w:sz w:val="24"/>
          <w:lang w:val="uk-UA"/>
        </w:rPr>
        <w:t xml:space="preserve">                         </w:t>
      </w:r>
      <w:r w:rsidR="0049783E">
        <w:rPr>
          <w:sz w:val="24"/>
          <w:lang w:val="en-US"/>
        </w:rPr>
        <w:t xml:space="preserve">       </w:t>
      </w:r>
      <w:r w:rsidRPr="00C030F1">
        <w:rPr>
          <w:sz w:val="24"/>
          <w:lang w:val="uk-UA"/>
        </w:rPr>
        <w:t xml:space="preserve">   </w:t>
      </w:r>
      <w:r w:rsidRPr="00C030F1">
        <w:rPr>
          <w:i/>
          <w:sz w:val="24"/>
          <w:lang w:val="uk-UA"/>
        </w:rPr>
        <w:t>(у відсотках до загального обсягу</w:t>
      </w:r>
      <w:r w:rsidR="004A42E0">
        <w:rPr>
          <w:i/>
          <w:sz w:val="24"/>
          <w:lang w:val="uk-UA"/>
        </w:rPr>
        <w:t xml:space="preserve"> в регіоні</w:t>
      </w:r>
      <w:r w:rsidR="003C13D0" w:rsidRPr="0049783E">
        <w:rPr>
          <w:i/>
          <w:sz w:val="24"/>
          <w:lang w:val="en-US"/>
        </w:rPr>
        <w:t xml:space="preserve"> </w:t>
      </w:r>
      <w:r w:rsidR="003C13D0" w:rsidRPr="0049783E">
        <w:rPr>
          <w:i/>
          <w:sz w:val="24"/>
          <w:lang w:val="uk-UA"/>
        </w:rPr>
        <w:t xml:space="preserve">/ </w:t>
      </w:r>
      <w:proofErr w:type="spellStart"/>
      <w:r w:rsidR="0049783E" w:rsidRPr="0049783E">
        <w:rPr>
          <w:i/>
          <w:sz w:val="22"/>
          <w:szCs w:val="22"/>
          <w:lang w:val="uk-UA"/>
        </w:rPr>
        <w:t>as</w:t>
      </w:r>
      <w:proofErr w:type="spellEnd"/>
      <w:r w:rsidR="0049783E" w:rsidRPr="0049783E">
        <w:rPr>
          <w:i/>
          <w:sz w:val="22"/>
          <w:szCs w:val="22"/>
          <w:lang w:val="uk-UA"/>
        </w:rPr>
        <w:t xml:space="preserve"> a </w:t>
      </w:r>
      <w:proofErr w:type="spellStart"/>
      <w:r w:rsidR="0049783E" w:rsidRPr="0049783E">
        <w:rPr>
          <w:i/>
          <w:sz w:val="22"/>
          <w:szCs w:val="22"/>
          <w:lang w:val="uk-UA"/>
        </w:rPr>
        <w:t>percentage</w:t>
      </w:r>
      <w:proofErr w:type="spellEnd"/>
      <w:r w:rsidR="0049783E" w:rsidRPr="0049783E">
        <w:rPr>
          <w:i/>
          <w:sz w:val="22"/>
          <w:szCs w:val="22"/>
          <w:lang w:val="uk-UA"/>
        </w:rPr>
        <w:t xml:space="preserve"> </w:t>
      </w:r>
      <w:proofErr w:type="spellStart"/>
      <w:r w:rsidR="0049783E" w:rsidRPr="0049783E">
        <w:rPr>
          <w:i/>
          <w:sz w:val="22"/>
          <w:szCs w:val="22"/>
          <w:lang w:val="uk-UA"/>
        </w:rPr>
        <w:t>of</w:t>
      </w:r>
      <w:proofErr w:type="spellEnd"/>
      <w:r w:rsidR="0049783E" w:rsidRPr="0049783E">
        <w:rPr>
          <w:i/>
          <w:sz w:val="22"/>
          <w:szCs w:val="22"/>
          <w:lang w:val="uk-UA"/>
        </w:rPr>
        <w:t xml:space="preserve"> </w:t>
      </w:r>
      <w:proofErr w:type="spellStart"/>
      <w:r w:rsidR="0049783E" w:rsidRPr="0049783E">
        <w:rPr>
          <w:i/>
          <w:sz w:val="22"/>
          <w:szCs w:val="22"/>
          <w:lang w:val="uk-UA"/>
        </w:rPr>
        <w:t>total</w:t>
      </w:r>
      <w:proofErr w:type="spellEnd"/>
      <w:r w:rsidR="0049783E" w:rsidRPr="0049783E">
        <w:rPr>
          <w:i/>
          <w:sz w:val="22"/>
          <w:szCs w:val="22"/>
          <w:lang w:val="uk-UA"/>
        </w:rPr>
        <w:t xml:space="preserve"> </w:t>
      </w:r>
      <w:proofErr w:type="spellStart"/>
      <w:r w:rsidR="0049783E" w:rsidRPr="0049783E">
        <w:rPr>
          <w:i/>
          <w:sz w:val="22"/>
          <w:szCs w:val="22"/>
          <w:lang w:val="uk-UA"/>
        </w:rPr>
        <w:t>regional</w:t>
      </w:r>
      <w:proofErr w:type="spellEnd"/>
      <w:r w:rsidRPr="00C030F1">
        <w:rPr>
          <w:i/>
          <w:sz w:val="24"/>
          <w:lang w:val="uk-UA"/>
        </w:rPr>
        <w:t>)</w:t>
      </w:r>
    </w:p>
    <w:tbl>
      <w:tblPr>
        <w:tblW w:w="9622" w:type="dxa"/>
        <w:tblLayout w:type="fixed"/>
        <w:tblLook w:val="0000" w:firstRow="0" w:lastRow="0" w:firstColumn="0" w:lastColumn="0" w:noHBand="0" w:noVBand="0"/>
      </w:tblPr>
      <w:tblGrid>
        <w:gridCol w:w="2445"/>
        <w:gridCol w:w="1405"/>
        <w:gridCol w:w="1405"/>
        <w:gridCol w:w="1405"/>
        <w:gridCol w:w="1405"/>
        <w:gridCol w:w="1557"/>
      </w:tblGrid>
      <w:tr w:rsidR="003C13D0" w:rsidRPr="00226A71" w:rsidTr="00AC2582">
        <w:trPr>
          <w:trHeight w:val="397"/>
        </w:trPr>
        <w:tc>
          <w:tcPr>
            <w:tcW w:w="244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140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C13D0" w:rsidRPr="00A547A9" w:rsidRDefault="003C13D0" w:rsidP="00E80BED">
            <w:pPr>
              <w:spacing w:before="60" w:after="60"/>
              <w:jc w:val="center"/>
              <w:rPr>
                <w:b/>
                <w:i/>
                <w:kern w:val="2"/>
                <w:sz w:val="18"/>
                <w:szCs w:val="18"/>
                <w:lang w:val="uk-UA"/>
              </w:rPr>
            </w:pPr>
          </w:p>
        </w:tc>
      </w:tr>
      <w:tr w:rsidR="003C13D0" w:rsidRPr="005A6375" w:rsidTr="00AC2582">
        <w:trPr>
          <w:trHeight w:val="337"/>
        </w:trPr>
        <w:tc>
          <w:tcPr>
            <w:tcW w:w="2445" w:type="dxa"/>
            <w:tcBorders>
              <w:top w:val="single" w:sz="6" w:space="0" w:color="auto"/>
              <w:right w:val="single" w:sz="4" w:space="0" w:color="auto"/>
            </w:tcBorders>
          </w:tcPr>
          <w:p w:rsidR="003C13D0" w:rsidRPr="005A6375" w:rsidRDefault="003C13D0" w:rsidP="000D481D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405" w:type="dxa"/>
            <w:tcBorders>
              <w:left w:val="single" w:sz="4" w:space="0" w:color="auto"/>
              <w:right w:val="nil"/>
            </w:tcBorders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5" w:type="dxa"/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5" w:type="dxa"/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5" w:type="dxa"/>
            <w:tcBorders>
              <w:right w:val="single" w:sz="6" w:space="0" w:color="auto"/>
            </w:tcBorders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0D481D">
            <w:pPr>
              <w:spacing w:line="343" w:lineRule="auto"/>
              <w:jc w:val="right"/>
              <w:rPr>
                <w:i/>
                <w:kern w:val="2"/>
                <w:szCs w:val="18"/>
                <w:lang w:val="uk-UA"/>
              </w:rPr>
            </w:pPr>
          </w:p>
        </w:tc>
      </w:tr>
      <w:tr w:rsidR="003C13D0" w:rsidRPr="001A6FE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b/>
                <w:color w:val="000000"/>
                <w:sz w:val="24"/>
                <w:szCs w:val="24"/>
              </w:rPr>
            </w:pPr>
            <w:r w:rsidRPr="003D009B">
              <w:rPr>
                <w:b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sz w:val="24"/>
                <w:szCs w:val="24"/>
              </w:rPr>
              <w:t>13,1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</w:tc>
      </w:tr>
      <w:tr w:rsidR="003C13D0" w:rsidRPr="001A6FE5" w:rsidTr="00AC2582">
        <w:trPr>
          <w:trHeight w:val="275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autoSpaceDE w:val="0"/>
              <w:autoSpaceDN w:val="0"/>
              <w:adjustRightInd w:val="0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Autonomous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</w:p>
        </w:tc>
      </w:tr>
      <w:tr w:rsidR="003C13D0" w:rsidRPr="005A6375" w:rsidTr="00AC2582">
        <w:trPr>
          <w:trHeight w:val="446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16,9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26,8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220" w:lineRule="exact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Republic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of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Crimea</w:t>
            </w:r>
            <w:proofErr w:type="spellEnd"/>
          </w:p>
        </w:tc>
      </w:tr>
      <w:tr w:rsidR="003C13D0" w:rsidRPr="005A6375" w:rsidTr="00AC2582">
        <w:trPr>
          <w:trHeight w:val="33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25,4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20,3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17,6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22,9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27,3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21,3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4,8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5,4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6,2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22,6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16,0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16,7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31,9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38,7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40,9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6,9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31,5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28,8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31,0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18,4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20,2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5,9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20,7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7,1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16,7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14,6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6,4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9,5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28,6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30,0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33,8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24,2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22,3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17,7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35,5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25,7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33,1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6,6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16,1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15,8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24,7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30,5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45,8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40,3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59,8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57,2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18,7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22,8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21,6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  <w:proofErr w:type="spellEnd"/>
          </w:p>
        </w:tc>
      </w:tr>
      <w:tr w:rsidR="003C13D0" w:rsidRPr="005A6375" w:rsidTr="00AC2582">
        <w:trPr>
          <w:trHeight w:val="337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405" w:type="dxa"/>
            <w:tcBorders>
              <w:left w:val="single" w:sz="4" w:space="0" w:color="auto"/>
              <w:right w:val="nil"/>
            </w:tcBorders>
          </w:tcPr>
          <w:p w:rsidR="003C13D0" w:rsidRPr="003D009B" w:rsidRDefault="003C13D0" w:rsidP="003C13D0">
            <w:pPr>
              <w:tabs>
                <w:tab w:val="left" w:pos="1593"/>
                <w:tab w:val="left" w:pos="1734"/>
              </w:tabs>
              <w:spacing w:line="288" w:lineRule="auto"/>
              <w:ind w:right="240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</w:tcPr>
          <w:p w:rsidR="003C13D0" w:rsidRPr="003D009B" w:rsidRDefault="003C13D0" w:rsidP="003C13D0">
            <w:pPr>
              <w:spacing w:line="288" w:lineRule="auto"/>
              <w:ind w:right="240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</w:tcPr>
          <w:p w:rsidR="003C13D0" w:rsidRPr="003D009B" w:rsidRDefault="003C13D0" w:rsidP="003C13D0">
            <w:pPr>
              <w:pStyle w:val="2"/>
              <w:tabs>
                <w:tab w:val="decimal" w:pos="34"/>
                <w:tab w:val="left" w:pos="2018"/>
              </w:tabs>
              <w:spacing w:line="288" w:lineRule="auto"/>
              <w:ind w:right="240"/>
              <w:jc w:val="right"/>
              <w:rPr>
                <w:sz w:val="24"/>
                <w:szCs w:val="24"/>
              </w:rPr>
            </w:pPr>
          </w:p>
        </w:tc>
        <w:tc>
          <w:tcPr>
            <w:tcW w:w="1405" w:type="dxa"/>
            <w:tcBorders>
              <w:right w:val="single" w:sz="6" w:space="0" w:color="auto"/>
            </w:tcBorders>
          </w:tcPr>
          <w:p w:rsidR="003C13D0" w:rsidRPr="003D009B" w:rsidRDefault="003C13D0" w:rsidP="003C13D0">
            <w:pPr>
              <w:spacing w:line="288" w:lineRule="auto"/>
              <w:ind w:right="240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cities</w:t>
            </w:r>
            <w:proofErr w:type="spellEnd"/>
          </w:p>
        </w:tc>
      </w:tr>
      <w:tr w:rsidR="003C13D0" w:rsidRPr="005A6375" w:rsidTr="00AC2582">
        <w:trPr>
          <w:trHeight w:val="382"/>
        </w:trPr>
        <w:tc>
          <w:tcPr>
            <w:tcW w:w="2445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405" w:type="dxa"/>
            <w:tcBorders>
              <w:left w:val="single" w:sz="4" w:space="0" w:color="auto"/>
              <w:right w:val="nil"/>
            </w:tcBorders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10,9</w:t>
            </w:r>
          </w:p>
        </w:tc>
        <w:tc>
          <w:tcPr>
            <w:tcW w:w="1405" w:type="dxa"/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9,7</w:t>
            </w:r>
          </w:p>
        </w:tc>
        <w:tc>
          <w:tcPr>
            <w:tcW w:w="1405" w:type="dxa"/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9,4</w:t>
            </w:r>
          </w:p>
        </w:tc>
        <w:tc>
          <w:tcPr>
            <w:tcW w:w="1405" w:type="dxa"/>
            <w:tcBorders>
              <w:right w:val="single" w:sz="6" w:space="0" w:color="auto"/>
            </w:tcBorders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557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3C13D0" w:rsidRPr="005A6375" w:rsidTr="00AC2582">
        <w:trPr>
          <w:trHeight w:val="367"/>
        </w:trPr>
        <w:tc>
          <w:tcPr>
            <w:tcW w:w="2445" w:type="dxa"/>
            <w:tcBorders>
              <w:bottom w:val="single" w:sz="4" w:space="0" w:color="auto"/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54,7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3C13D0" w:rsidRPr="003D009B" w:rsidRDefault="003C13D0" w:rsidP="003C13D0">
            <w:pPr>
              <w:ind w:right="240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56,4</w:t>
            </w:r>
          </w:p>
        </w:tc>
        <w:tc>
          <w:tcPr>
            <w:tcW w:w="1405" w:type="dxa"/>
            <w:tcBorders>
              <w:bottom w:val="single" w:sz="4" w:space="0" w:color="auto"/>
              <w:right w:val="single" w:sz="6" w:space="0" w:color="auto"/>
            </w:tcBorders>
          </w:tcPr>
          <w:p w:rsidR="003C13D0" w:rsidRPr="003D009B" w:rsidRDefault="003C13D0" w:rsidP="003C13D0">
            <w:pPr>
              <w:ind w:right="240"/>
              <w:jc w:val="right"/>
              <w:rPr>
                <w:color w:val="000000"/>
                <w:sz w:val="24"/>
                <w:szCs w:val="24"/>
              </w:rPr>
            </w:pPr>
            <w:r w:rsidRPr="003D009B">
              <w:rPr>
                <w:color w:val="000000"/>
                <w:sz w:val="24"/>
                <w:szCs w:val="24"/>
              </w:rPr>
              <w:t>53,9</w:t>
            </w:r>
          </w:p>
        </w:tc>
        <w:tc>
          <w:tcPr>
            <w:tcW w:w="1557" w:type="dxa"/>
            <w:tcBorders>
              <w:left w:val="single" w:sz="6" w:space="0" w:color="auto"/>
              <w:bottom w:val="single" w:sz="4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Sevastopol</w:t>
            </w:r>
            <w:proofErr w:type="spellEnd"/>
          </w:p>
        </w:tc>
      </w:tr>
    </w:tbl>
    <w:p w:rsidR="008F1B13" w:rsidRDefault="00B9774B" w:rsidP="00B9774B">
      <w:pPr>
        <w:spacing w:line="280" w:lineRule="exact"/>
        <w:rPr>
          <w:b/>
          <w:sz w:val="28"/>
          <w:szCs w:val="28"/>
          <w:lang w:val="uk-UA"/>
        </w:rPr>
      </w:pPr>
      <w:r w:rsidRPr="00C030F1">
        <w:rPr>
          <w:b/>
          <w:sz w:val="28"/>
          <w:szCs w:val="28"/>
          <w:lang w:val="uk-UA"/>
        </w:rPr>
        <w:lastRenderedPageBreak/>
        <w:t xml:space="preserve">1.7. </w:t>
      </w:r>
      <w:r w:rsidR="008F1B13">
        <w:rPr>
          <w:b/>
          <w:sz w:val="28"/>
          <w:szCs w:val="28"/>
          <w:lang w:val="uk-UA"/>
        </w:rPr>
        <w:t>Капітальні</w:t>
      </w:r>
      <w:r w:rsidR="008F1B13" w:rsidRPr="00C030F1">
        <w:rPr>
          <w:b/>
          <w:sz w:val="28"/>
          <w:szCs w:val="28"/>
          <w:lang w:val="uk-UA"/>
        </w:rPr>
        <w:t xml:space="preserve"> </w:t>
      </w:r>
      <w:r w:rsidR="008F1B13">
        <w:rPr>
          <w:b/>
          <w:sz w:val="28"/>
          <w:szCs w:val="28"/>
          <w:lang w:val="uk-UA"/>
        </w:rPr>
        <w:t>і</w:t>
      </w:r>
      <w:r w:rsidRPr="00C030F1">
        <w:rPr>
          <w:b/>
          <w:sz w:val="28"/>
          <w:szCs w:val="28"/>
          <w:lang w:val="uk-UA"/>
        </w:rPr>
        <w:t>нвестиції у житлове будівництво на одну особу</w:t>
      </w:r>
    </w:p>
    <w:p w:rsidR="00B9774B" w:rsidRDefault="008F1B13" w:rsidP="00B9774B">
      <w:pPr>
        <w:spacing w:line="280" w:lineRule="exac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B9774B" w:rsidRPr="00D36283">
        <w:rPr>
          <w:b/>
          <w:sz w:val="28"/>
          <w:szCs w:val="28"/>
          <w:lang w:val="uk-UA"/>
        </w:rPr>
        <w:t>за регіонами</w:t>
      </w:r>
    </w:p>
    <w:p w:rsidR="00E15C84" w:rsidRDefault="0049783E" w:rsidP="00B9774B">
      <w:pPr>
        <w:spacing w:line="280" w:lineRule="exact"/>
        <w:rPr>
          <w:rStyle w:val="hps"/>
          <w:i/>
          <w:sz w:val="22"/>
          <w:szCs w:val="22"/>
          <w:lang w:val="en"/>
        </w:rPr>
      </w:pPr>
      <w:r>
        <w:rPr>
          <w:rStyle w:val="hps"/>
          <w:i/>
          <w:sz w:val="22"/>
          <w:szCs w:val="22"/>
          <w:lang w:val="en"/>
        </w:rPr>
        <w:t xml:space="preserve">         </w:t>
      </w:r>
      <w:r w:rsidRPr="0049783E">
        <w:rPr>
          <w:rStyle w:val="hps"/>
          <w:i/>
          <w:sz w:val="22"/>
          <w:szCs w:val="22"/>
          <w:lang w:val="en"/>
        </w:rPr>
        <w:t>Capital</w:t>
      </w:r>
      <w:r w:rsidRPr="0049783E">
        <w:rPr>
          <w:i/>
          <w:sz w:val="22"/>
          <w:szCs w:val="22"/>
          <w:lang w:val="en"/>
        </w:rPr>
        <w:t xml:space="preserve"> </w:t>
      </w:r>
      <w:r w:rsidRPr="0049783E">
        <w:rPr>
          <w:rStyle w:val="hps"/>
          <w:i/>
          <w:sz w:val="22"/>
          <w:szCs w:val="22"/>
          <w:lang w:val="en"/>
        </w:rPr>
        <w:t xml:space="preserve">investment in </w:t>
      </w:r>
      <w:r w:rsidR="0094022A" w:rsidRPr="00B64AAC">
        <w:rPr>
          <w:rStyle w:val="hps"/>
          <w:i/>
          <w:sz w:val="24"/>
          <w:szCs w:val="24"/>
          <w:lang w:val="en"/>
        </w:rPr>
        <w:t>residential construction</w:t>
      </w:r>
      <w:r w:rsidRPr="0049783E">
        <w:rPr>
          <w:i/>
          <w:sz w:val="22"/>
          <w:szCs w:val="22"/>
          <w:lang w:val="en"/>
        </w:rPr>
        <w:t xml:space="preserve"> </w:t>
      </w:r>
      <w:r w:rsidRPr="0049783E">
        <w:rPr>
          <w:rStyle w:val="hps"/>
          <w:i/>
          <w:sz w:val="22"/>
          <w:szCs w:val="22"/>
          <w:lang w:val="en"/>
        </w:rPr>
        <w:t>per capita</w:t>
      </w:r>
      <w:r w:rsidR="0094022A">
        <w:rPr>
          <w:rStyle w:val="hps"/>
          <w:i/>
          <w:sz w:val="22"/>
          <w:szCs w:val="22"/>
          <w:lang w:val="uk-UA"/>
        </w:rPr>
        <w:t>,</w:t>
      </w:r>
      <w:r w:rsidRPr="0049783E">
        <w:rPr>
          <w:i/>
          <w:sz w:val="22"/>
          <w:szCs w:val="22"/>
          <w:lang w:val="en"/>
        </w:rPr>
        <w:t xml:space="preserve"> </w:t>
      </w:r>
      <w:r w:rsidRPr="0049783E">
        <w:rPr>
          <w:rStyle w:val="hps"/>
          <w:i/>
          <w:sz w:val="22"/>
          <w:szCs w:val="22"/>
          <w:lang w:val="en"/>
        </w:rPr>
        <w:t>by region</w:t>
      </w:r>
      <w:r w:rsidR="00002C0F">
        <w:rPr>
          <w:rStyle w:val="hps"/>
          <w:i/>
          <w:sz w:val="22"/>
          <w:szCs w:val="22"/>
          <w:lang w:val="en"/>
        </w:rPr>
        <w:t>s</w:t>
      </w:r>
      <w:bookmarkStart w:id="0" w:name="_GoBack"/>
      <w:bookmarkEnd w:id="0"/>
    </w:p>
    <w:p w:rsidR="003D009B" w:rsidRPr="0049783E" w:rsidRDefault="003D009B" w:rsidP="00B9774B">
      <w:pPr>
        <w:spacing w:line="280" w:lineRule="exact"/>
        <w:rPr>
          <w:b/>
          <w:i/>
          <w:sz w:val="22"/>
          <w:szCs w:val="22"/>
          <w:lang w:val="uk-UA"/>
        </w:rPr>
      </w:pPr>
    </w:p>
    <w:p w:rsidR="003C13D0" w:rsidRPr="0049783E" w:rsidRDefault="00B9774B" w:rsidP="0049783E">
      <w:pPr>
        <w:spacing w:line="240" w:lineRule="atLeast"/>
        <w:ind w:right="-569"/>
        <w:jc w:val="both"/>
        <w:rPr>
          <w:i/>
          <w:sz w:val="24"/>
          <w:szCs w:val="24"/>
          <w:lang w:val="uk-UA"/>
        </w:rPr>
      </w:pPr>
      <w:r w:rsidRPr="0049783E">
        <w:rPr>
          <w:i/>
          <w:sz w:val="24"/>
          <w:szCs w:val="24"/>
          <w:lang w:val="uk-UA"/>
        </w:rPr>
        <w:t xml:space="preserve">                                                                                 (</w:t>
      </w:r>
      <w:r w:rsidR="0049783E" w:rsidRPr="0049783E">
        <w:rPr>
          <w:rFonts w:ascii="TimesNewRomanPS-ItalicMT" w:hAnsi="TimesNewRomanPS-ItalicMT" w:cs="TimesNewRomanPS-ItalicMT"/>
          <w:i/>
          <w:iCs/>
          <w:sz w:val="24"/>
          <w:szCs w:val="24"/>
          <w:lang w:val="uk-UA" w:eastAsia="uk-UA"/>
        </w:rPr>
        <w:t>у фактичних цінах</w:t>
      </w:r>
      <w:r w:rsidR="0049783E">
        <w:rPr>
          <w:rFonts w:ascii="TimesNewRomanPS-ItalicMT" w:hAnsi="TimesNewRomanPS-ItalicMT" w:cs="TimesNewRomanPS-ItalicMT"/>
          <w:i/>
          <w:iCs/>
          <w:sz w:val="24"/>
          <w:szCs w:val="24"/>
          <w:lang w:val="uk-UA" w:eastAsia="uk-UA"/>
        </w:rPr>
        <w:t>,</w:t>
      </w:r>
      <w:r w:rsidR="0049783E" w:rsidRPr="0049783E">
        <w:rPr>
          <w:rFonts w:ascii="TimesNewRomanPS-ItalicMT" w:hAnsi="TimesNewRomanPS-ItalicMT" w:cs="TimesNewRomanPS-ItalicMT"/>
          <w:i/>
          <w:iCs/>
          <w:sz w:val="24"/>
          <w:szCs w:val="24"/>
          <w:lang w:val="uk-UA" w:eastAsia="uk-UA"/>
        </w:rPr>
        <w:t xml:space="preserve"> грн</w:t>
      </w:r>
      <w:r w:rsidRPr="0049783E">
        <w:rPr>
          <w:i/>
          <w:sz w:val="24"/>
          <w:szCs w:val="24"/>
          <w:lang w:val="uk-UA"/>
        </w:rPr>
        <w:t>.</w:t>
      </w:r>
      <w:r w:rsidR="0049783E">
        <w:rPr>
          <w:i/>
          <w:sz w:val="24"/>
          <w:szCs w:val="24"/>
          <w:lang w:val="uk-UA"/>
        </w:rPr>
        <w:t xml:space="preserve"> / </w:t>
      </w:r>
      <w:proofErr w:type="spellStart"/>
      <w:r w:rsidR="0049783E" w:rsidRPr="0049783E">
        <w:rPr>
          <w:i/>
          <w:iCs/>
          <w:sz w:val="22"/>
          <w:szCs w:val="22"/>
          <w:lang w:val="uk-UA" w:eastAsia="uk-UA"/>
        </w:rPr>
        <w:t>at</w:t>
      </w:r>
      <w:proofErr w:type="spellEnd"/>
      <w:r w:rsidR="0049783E" w:rsidRPr="0049783E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="0049783E" w:rsidRPr="0049783E">
        <w:rPr>
          <w:i/>
          <w:iCs/>
          <w:sz w:val="22"/>
          <w:szCs w:val="22"/>
          <w:lang w:val="uk-UA" w:eastAsia="uk-UA"/>
        </w:rPr>
        <w:t>current</w:t>
      </w:r>
      <w:proofErr w:type="spellEnd"/>
      <w:r w:rsidR="0049783E" w:rsidRPr="0049783E">
        <w:rPr>
          <w:i/>
          <w:iCs/>
          <w:sz w:val="22"/>
          <w:szCs w:val="22"/>
          <w:lang w:val="uk-UA" w:eastAsia="uk-UA"/>
        </w:rPr>
        <w:t xml:space="preserve"> </w:t>
      </w:r>
      <w:proofErr w:type="spellStart"/>
      <w:r w:rsidR="0049783E" w:rsidRPr="0049783E">
        <w:rPr>
          <w:i/>
          <w:iCs/>
          <w:sz w:val="22"/>
          <w:szCs w:val="22"/>
          <w:lang w:val="uk-UA" w:eastAsia="uk-UA"/>
        </w:rPr>
        <w:t>prices</w:t>
      </w:r>
      <w:proofErr w:type="spellEnd"/>
      <w:r w:rsidR="003D009B">
        <w:rPr>
          <w:i/>
          <w:iCs/>
          <w:sz w:val="22"/>
          <w:szCs w:val="22"/>
          <w:lang w:val="uk-UA" w:eastAsia="uk-UA"/>
        </w:rPr>
        <w:t>,</w:t>
      </w:r>
      <w:r w:rsidR="0049783E" w:rsidRPr="0049783E">
        <w:rPr>
          <w:i/>
          <w:iCs/>
          <w:sz w:val="22"/>
          <w:szCs w:val="22"/>
          <w:lang w:val="uk-UA" w:eastAsia="uk-UA"/>
        </w:rPr>
        <w:t xml:space="preserve"> UAH</w:t>
      </w:r>
      <w:r w:rsidRPr="0049783E">
        <w:rPr>
          <w:i/>
          <w:sz w:val="24"/>
          <w:szCs w:val="24"/>
          <w:lang w:val="uk-UA"/>
        </w:rPr>
        <w:t>)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440"/>
        <w:gridCol w:w="1403"/>
        <w:gridCol w:w="1403"/>
        <w:gridCol w:w="1403"/>
        <w:gridCol w:w="1403"/>
        <w:gridCol w:w="1554"/>
      </w:tblGrid>
      <w:tr w:rsidR="003C13D0" w:rsidRPr="0049783E" w:rsidTr="00AC2582">
        <w:trPr>
          <w:trHeight w:val="391"/>
        </w:trPr>
        <w:tc>
          <w:tcPr>
            <w:tcW w:w="24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2010</w:t>
            </w:r>
          </w:p>
        </w:tc>
        <w:tc>
          <w:tcPr>
            <w:tcW w:w="140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2011</w:t>
            </w:r>
          </w:p>
        </w:tc>
        <w:tc>
          <w:tcPr>
            <w:tcW w:w="140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140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C13D0" w:rsidRPr="00226A71" w:rsidRDefault="003C13D0" w:rsidP="00E80BED">
            <w:pPr>
              <w:spacing w:before="60" w:after="60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226A71">
              <w:rPr>
                <w:b/>
                <w:kern w:val="2"/>
                <w:sz w:val="24"/>
                <w:szCs w:val="24"/>
                <w:lang w:val="uk-UA"/>
              </w:rPr>
              <w:t>20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C13D0" w:rsidRPr="00A547A9" w:rsidRDefault="003C13D0" w:rsidP="00E80BED">
            <w:pPr>
              <w:spacing w:before="60" w:after="60"/>
              <w:jc w:val="center"/>
              <w:rPr>
                <w:b/>
                <w:i/>
                <w:kern w:val="2"/>
                <w:sz w:val="18"/>
                <w:szCs w:val="18"/>
                <w:lang w:val="uk-UA"/>
              </w:rPr>
            </w:pPr>
          </w:p>
        </w:tc>
      </w:tr>
      <w:tr w:rsidR="003C13D0" w:rsidRPr="0049783E" w:rsidTr="00AC2582">
        <w:trPr>
          <w:trHeight w:val="331"/>
        </w:trPr>
        <w:tc>
          <w:tcPr>
            <w:tcW w:w="2440" w:type="dxa"/>
            <w:tcBorders>
              <w:top w:val="single" w:sz="6" w:space="0" w:color="auto"/>
              <w:right w:val="single" w:sz="4" w:space="0" w:color="auto"/>
            </w:tcBorders>
          </w:tcPr>
          <w:p w:rsidR="003C13D0" w:rsidRPr="005A6375" w:rsidRDefault="003C13D0" w:rsidP="000D481D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403" w:type="dxa"/>
            <w:tcBorders>
              <w:left w:val="single" w:sz="4" w:space="0" w:color="auto"/>
              <w:right w:val="nil"/>
            </w:tcBorders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3" w:type="dxa"/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3" w:type="dxa"/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403" w:type="dxa"/>
            <w:tcBorders>
              <w:right w:val="single" w:sz="6" w:space="0" w:color="auto"/>
            </w:tcBorders>
          </w:tcPr>
          <w:p w:rsidR="003C13D0" w:rsidRPr="005A6375" w:rsidRDefault="003C13D0" w:rsidP="000D481D">
            <w:pPr>
              <w:spacing w:line="192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0D481D">
            <w:pPr>
              <w:spacing w:line="343" w:lineRule="auto"/>
              <w:jc w:val="right"/>
              <w:rPr>
                <w:i/>
                <w:kern w:val="2"/>
                <w:szCs w:val="18"/>
                <w:lang w:val="uk-UA"/>
              </w:rPr>
            </w:pPr>
          </w:p>
        </w:tc>
      </w:tr>
      <w:tr w:rsidR="003C13D0" w:rsidRPr="0049783E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3D009B">
              <w:rPr>
                <w:b/>
                <w:sz w:val="24"/>
                <w:szCs w:val="24"/>
                <w:lang w:val="uk-UA"/>
              </w:rPr>
              <w:t>628,9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sz w:val="24"/>
                <w:szCs w:val="24"/>
                <w:lang w:val="uk-UA"/>
              </w:rPr>
              <w:t>649,2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sz w:val="24"/>
                <w:szCs w:val="24"/>
                <w:lang w:val="uk-UA"/>
              </w:rPr>
              <w:t>848,9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3D009B">
              <w:rPr>
                <w:b/>
                <w:sz w:val="24"/>
                <w:szCs w:val="24"/>
                <w:lang w:val="uk-UA"/>
              </w:rPr>
              <w:t>917,4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</w:tc>
      </w:tr>
      <w:tr w:rsidR="003C13D0" w:rsidRPr="0049783E" w:rsidTr="00AC2582">
        <w:trPr>
          <w:trHeight w:val="27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Автономна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autoSpaceDE w:val="0"/>
              <w:autoSpaceDN w:val="0"/>
              <w:adjustRightInd w:val="0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Autonomous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</w:p>
        </w:tc>
      </w:tr>
      <w:tr w:rsidR="003C13D0" w:rsidRPr="005A6375" w:rsidTr="00AC2582">
        <w:trPr>
          <w:trHeight w:val="437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b/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Республіка  Крим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  <w:lang w:val="uk-UA"/>
              </w:rPr>
            </w:pPr>
            <w:r w:rsidRPr="003D009B">
              <w:rPr>
                <w:sz w:val="24"/>
                <w:szCs w:val="24"/>
                <w:lang w:val="uk-UA"/>
              </w:rPr>
              <w:t>1089,1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  <w:lang w:val="uk-UA"/>
              </w:rPr>
              <w:t>1126</w:t>
            </w:r>
            <w:r w:rsidRPr="003D009B">
              <w:rPr>
                <w:sz w:val="24"/>
                <w:szCs w:val="24"/>
              </w:rPr>
              <w:t>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1588,2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2116,8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220" w:lineRule="exact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Republic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of</w:t>
            </w:r>
            <w:proofErr w:type="spellEnd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 xml:space="preserve"> </w:t>
            </w: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Crimea</w:t>
            </w:r>
            <w:proofErr w:type="spellEnd"/>
          </w:p>
        </w:tc>
      </w:tr>
      <w:tr w:rsidR="003C13D0" w:rsidRPr="005A6375" w:rsidTr="00AC2582">
        <w:trPr>
          <w:trHeight w:val="33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 xml:space="preserve">   </w:t>
            </w:r>
            <w:r w:rsidRPr="005A6375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548,6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632,0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633,1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777,6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538,6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569,4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857,2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683,9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264,5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237,5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287,9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311,0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202,2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285,4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391,9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399,8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353,8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315,4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362,8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397,1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566,3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649,7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847,6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864,6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228,7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101,6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433,3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264,9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1002,5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835,5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1081,0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1217,0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2049,1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1902,5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2399,8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2587,6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249,1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238,0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313,7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302,6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145,9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123,3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190,5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204,3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625,6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747,8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918,1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897,4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199,0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211,6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289,8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305,2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661,3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793,7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1024,4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726,8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376,9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343,2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460,7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625,2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482,2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648,6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720,7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828,3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455,1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444,0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559,7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423,4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700,7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600,4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1037,5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975,0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354,6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315,2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578,8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550,3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393,8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293,1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357,6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336,7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599,7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472,5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657,1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849,6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336,5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226,9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319,0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310,5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871,0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802,1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1475,9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1427,1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372,5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413,3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581,9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576,7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  <w:proofErr w:type="spellEnd"/>
          </w:p>
        </w:tc>
      </w:tr>
      <w:tr w:rsidR="003C13D0" w:rsidRPr="005A6375" w:rsidTr="00AC2582">
        <w:trPr>
          <w:trHeight w:val="331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rPr>
                <w:kern w:val="2"/>
                <w:sz w:val="24"/>
                <w:lang w:val="uk-UA"/>
              </w:rPr>
            </w:pPr>
            <w:r w:rsidRPr="005A6375">
              <w:rPr>
                <w:b/>
                <w:kern w:val="2"/>
                <w:sz w:val="24"/>
                <w:lang w:val="uk-UA"/>
              </w:rPr>
              <w:t xml:space="preserve">   міста</w:t>
            </w:r>
          </w:p>
        </w:tc>
        <w:tc>
          <w:tcPr>
            <w:tcW w:w="1403" w:type="dxa"/>
            <w:tcBorders>
              <w:left w:val="single" w:sz="4" w:space="0" w:color="auto"/>
              <w:right w:val="nil"/>
            </w:tcBorders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03" w:type="dxa"/>
          </w:tcPr>
          <w:p w:rsidR="003C13D0" w:rsidRPr="003D009B" w:rsidRDefault="003C13D0" w:rsidP="003C13D0">
            <w:pPr>
              <w:spacing w:line="288" w:lineRule="auto"/>
              <w:ind w:right="176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403" w:type="dxa"/>
          </w:tcPr>
          <w:p w:rsidR="003C13D0" w:rsidRPr="003D009B" w:rsidRDefault="003C13D0" w:rsidP="003C13D0">
            <w:pPr>
              <w:pStyle w:val="2"/>
              <w:tabs>
                <w:tab w:val="decimal" w:pos="34"/>
                <w:tab w:val="left" w:pos="2018"/>
              </w:tabs>
              <w:spacing w:line="288" w:lineRule="auto"/>
              <w:ind w:right="176"/>
              <w:jc w:val="right"/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right w:val="single" w:sz="6" w:space="0" w:color="auto"/>
            </w:tcBorders>
          </w:tcPr>
          <w:p w:rsidR="003C13D0" w:rsidRPr="003D009B" w:rsidRDefault="003C13D0" w:rsidP="003C13D0">
            <w:pPr>
              <w:spacing w:line="288" w:lineRule="auto"/>
              <w:ind w:right="176"/>
              <w:jc w:val="right"/>
              <w:rPr>
                <w:snapToGrid w:val="0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EB386E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cities</w:t>
            </w:r>
            <w:proofErr w:type="spellEnd"/>
          </w:p>
        </w:tc>
      </w:tr>
      <w:tr w:rsidR="003C13D0" w:rsidRPr="005A6375" w:rsidTr="00AC2582">
        <w:trPr>
          <w:trHeight w:val="376"/>
        </w:trPr>
        <w:tc>
          <w:tcPr>
            <w:tcW w:w="2440" w:type="dxa"/>
            <w:tcBorders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403" w:type="dxa"/>
            <w:tcBorders>
              <w:left w:val="single" w:sz="4" w:space="0" w:color="auto"/>
              <w:right w:val="nil"/>
            </w:tcBorders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2125,1</w:t>
            </w:r>
          </w:p>
        </w:tc>
        <w:tc>
          <w:tcPr>
            <w:tcW w:w="1403" w:type="dxa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2491,1</w:t>
            </w:r>
          </w:p>
        </w:tc>
        <w:tc>
          <w:tcPr>
            <w:tcW w:w="1403" w:type="dxa"/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2682,0</w:t>
            </w:r>
          </w:p>
        </w:tc>
        <w:tc>
          <w:tcPr>
            <w:tcW w:w="1403" w:type="dxa"/>
            <w:tcBorders>
              <w:right w:val="single" w:sz="6" w:space="0" w:color="auto"/>
            </w:tcBorders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3355,1</w:t>
            </w:r>
          </w:p>
        </w:tc>
        <w:tc>
          <w:tcPr>
            <w:tcW w:w="1554" w:type="dxa"/>
            <w:tcBorders>
              <w:left w:val="single" w:sz="6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3C13D0" w:rsidRPr="005A6375" w:rsidTr="00AC2582">
        <w:trPr>
          <w:trHeight w:val="361"/>
        </w:trPr>
        <w:tc>
          <w:tcPr>
            <w:tcW w:w="2440" w:type="dxa"/>
            <w:tcBorders>
              <w:bottom w:val="single" w:sz="4" w:space="0" w:color="auto"/>
              <w:right w:val="single" w:sz="4" w:space="0" w:color="auto"/>
            </w:tcBorders>
          </w:tcPr>
          <w:p w:rsidR="003C13D0" w:rsidRPr="005A6375" w:rsidRDefault="003C13D0" w:rsidP="003C13D0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5A6375">
              <w:rPr>
                <w:kern w:val="2"/>
                <w:sz w:val="24"/>
                <w:lang w:val="uk-UA"/>
              </w:rPr>
              <w:t>Севастополь</w:t>
            </w:r>
          </w:p>
        </w:tc>
        <w:tc>
          <w:tcPr>
            <w:tcW w:w="140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C13D0" w:rsidRPr="003D009B" w:rsidRDefault="003C13D0" w:rsidP="003C13D0">
            <w:pPr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2252,4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2038,1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3122,1</w:t>
            </w:r>
          </w:p>
        </w:tc>
        <w:tc>
          <w:tcPr>
            <w:tcW w:w="1403" w:type="dxa"/>
            <w:tcBorders>
              <w:bottom w:val="single" w:sz="4" w:space="0" w:color="auto"/>
              <w:right w:val="single" w:sz="6" w:space="0" w:color="auto"/>
            </w:tcBorders>
          </w:tcPr>
          <w:p w:rsidR="003C13D0" w:rsidRPr="003D009B" w:rsidRDefault="003C13D0" w:rsidP="003C13D0">
            <w:pPr>
              <w:ind w:right="176"/>
              <w:jc w:val="right"/>
              <w:rPr>
                <w:sz w:val="24"/>
                <w:szCs w:val="24"/>
              </w:rPr>
            </w:pPr>
            <w:r w:rsidRPr="003D009B">
              <w:rPr>
                <w:sz w:val="24"/>
                <w:szCs w:val="24"/>
              </w:rPr>
              <w:t>3383,5</w:t>
            </w:r>
          </w:p>
        </w:tc>
        <w:tc>
          <w:tcPr>
            <w:tcW w:w="1554" w:type="dxa"/>
            <w:tcBorders>
              <w:left w:val="single" w:sz="6" w:space="0" w:color="auto"/>
              <w:bottom w:val="single" w:sz="4" w:space="0" w:color="auto"/>
            </w:tcBorders>
          </w:tcPr>
          <w:p w:rsidR="003C13D0" w:rsidRPr="00EB386E" w:rsidRDefault="003C13D0" w:rsidP="003C13D0">
            <w:pPr>
              <w:spacing w:line="343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EB386E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Sevastopol</w:t>
            </w:r>
            <w:proofErr w:type="spellEnd"/>
          </w:p>
        </w:tc>
      </w:tr>
    </w:tbl>
    <w:p w:rsidR="003C13D0" w:rsidRDefault="003C13D0" w:rsidP="00F45525">
      <w:pPr>
        <w:spacing w:line="240" w:lineRule="atLeast"/>
        <w:ind w:right="22"/>
        <w:jc w:val="right"/>
        <w:rPr>
          <w:i/>
          <w:sz w:val="24"/>
          <w:lang w:val="uk-UA"/>
        </w:rPr>
      </w:pPr>
    </w:p>
    <w:sectPr w:rsidR="003C13D0" w:rsidSect="00555A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418" w:left="1418" w:header="567" w:footer="567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3C1" w:rsidRDefault="00F123C1" w:rsidP="00A606F5">
      <w:r>
        <w:separator/>
      </w:r>
    </w:p>
  </w:endnote>
  <w:endnote w:type="continuationSeparator" w:id="0">
    <w:p w:rsidR="00F123C1" w:rsidRDefault="00F123C1" w:rsidP="00A6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5161075"/>
      <w:docPartObj>
        <w:docPartGallery w:val="Page Numbers (Bottom of Page)"/>
        <w:docPartUnique/>
      </w:docPartObj>
    </w:sdtPr>
    <w:sdtEndPr/>
    <w:sdtContent>
      <w:p w:rsidR="00A21A68" w:rsidRDefault="00A21A68" w:rsidP="00E80BED">
        <w:pPr>
          <w:pStyle w:val="a5"/>
          <w:tabs>
            <w:tab w:val="clear" w:pos="4819"/>
          </w:tabs>
          <w:jc w:val="right"/>
          <w:rPr>
            <w:lang w:val="uk-UA"/>
          </w:rPr>
        </w:pPr>
        <w:r>
          <w:rPr>
            <w:lang w:val="uk-UA"/>
          </w:rPr>
          <w:t>________________________________________________________________________________________________</w:t>
        </w:r>
      </w:p>
      <w:p w:rsidR="00A21A68" w:rsidRDefault="00A21A68" w:rsidP="00AC2582">
        <w:pPr>
          <w:pStyle w:val="a5"/>
          <w:framePr w:w="271" w:h="226" w:hRule="exact" w:wrap="around" w:vAnchor="text" w:hAnchor="page" w:x="1456" w:y="98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PAGE  </w:instrText>
        </w:r>
        <w:r>
          <w:rPr>
            <w:rStyle w:val="a7"/>
          </w:rPr>
          <w:fldChar w:fldCharType="separate"/>
        </w:r>
        <w:r w:rsidR="00002C0F">
          <w:rPr>
            <w:rStyle w:val="a7"/>
            <w:noProof/>
          </w:rPr>
          <w:t>14</w:t>
        </w:r>
        <w:r>
          <w:rPr>
            <w:rStyle w:val="a7"/>
          </w:rPr>
          <w:fldChar w:fldCharType="end"/>
        </w:r>
      </w:p>
      <w:p w:rsidR="00A21A68" w:rsidRPr="00AC2582" w:rsidRDefault="00A21A68" w:rsidP="00E80BED">
        <w:pPr>
          <w:pStyle w:val="a5"/>
          <w:tabs>
            <w:tab w:val="clear" w:pos="4819"/>
          </w:tabs>
          <w:jc w:val="right"/>
          <w:rPr>
            <w:i/>
            <w:sz w:val="16"/>
            <w:szCs w:val="16"/>
            <w:lang w:val="uk-UA"/>
          </w:rPr>
        </w:pPr>
        <w:r>
          <w:tab/>
        </w:r>
        <w:r w:rsidRPr="00E265E9">
          <w:rPr>
            <w:i/>
            <w:sz w:val="16"/>
            <w:szCs w:val="16"/>
            <w:lang w:val="en-US"/>
          </w:rPr>
          <w:t>Statistical publication</w:t>
        </w:r>
      </w:p>
      <w:p w:rsidR="00A21A68" w:rsidRPr="00AC2582" w:rsidRDefault="00A21A68" w:rsidP="00E80BED">
        <w:pPr>
          <w:pStyle w:val="a5"/>
          <w:tabs>
            <w:tab w:val="clear" w:pos="4819"/>
          </w:tabs>
          <w:jc w:val="right"/>
          <w:rPr>
            <w:sz w:val="16"/>
            <w:szCs w:val="16"/>
            <w:lang w:val="uk-UA"/>
          </w:rPr>
        </w:pPr>
        <w:r w:rsidRPr="00E265E9">
          <w:rPr>
            <w:sz w:val="16"/>
            <w:szCs w:val="16"/>
            <w:lang w:val="en-US"/>
          </w:rPr>
          <w:t>Residential Construction in Ukraine</w:t>
        </w:r>
        <w:r>
          <w:rPr>
            <w:sz w:val="16"/>
            <w:szCs w:val="16"/>
            <w:lang w:val="en-US"/>
          </w:rPr>
          <w:t>,</w:t>
        </w:r>
        <w:r w:rsidRPr="00E265E9">
          <w:rPr>
            <w:sz w:val="16"/>
            <w:szCs w:val="16"/>
            <w:lang w:val="en-US"/>
          </w:rPr>
          <w:t xml:space="preserve"> </w:t>
        </w:r>
        <w:r w:rsidRPr="00AC2582">
          <w:rPr>
            <w:sz w:val="16"/>
            <w:szCs w:val="16"/>
            <w:lang w:val="uk-UA"/>
          </w:rPr>
          <w:t>2007-2013</w:t>
        </w:r>
      </w:p>
      <w:p w:rsidR="00A21A68" w:rsidRDefault="00F123C1" w:rsidP="00BB6DD3">
        <w:pPr>
          <w:pStyle w:val="a5"/>
          <w:tabs>
            <w:tab w:val="clear" w:pos="4819"/>
          </w:tabs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92699970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21A68" w:rsidRPr="00AC2582" w:rsidRDefault="00A21A68" w:rsidP="00BB6DD3">
        <w:pPr>
          <w:pStyle w:val="a5"/>
          <w:tabs>
            <w:tab w:val="clear" w:pos="4819"/>
          </w:tabs>
          <w:rPr>
            <w:sz w:val="16"/>
            <w:szCs w:val="16"/>
            <w:lang w:val="uk-UA"/>
          </w:rPr>
        </w:pPr>
        <w:r w:rsidRPr="00AC2582">
          <w:rPr>
            <w:sz w:val="16"/>
            <w:szCs w:val="16"/>
            <w:lang w:val="uk-UA"/>
          </w:rPr>
          <w:t>_______________________________________________________________________________________________</w:t>
        </w:r>
        <w:r>
          <w:rPr>
            <w:sz w:val="16"/>
            <w:szCs w:val="16"/>
            <w:lang w:val="uk-UA"/>
          </w:rPr>
          <w:t>_________________________</w:t>
        </w:r>
      </w:p>
      <w:p w:rsidR="00A21A68" w:rsidRDefault="00A21A68" w:rsidP="00AC2582">
        <w:pPr>
          <w:pStyle w:val="a5"/>
          <w:framePr w:w="271" w:h="226" w:hRule="exact" w:wrap="around" w:vAnchor="text" w:hAnchor="page" w:x="10741" w:y="83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PAGE  </w:instrText>
        </w:r>
        <w:r>
          <w:rPr>
            <w:rStyle w:val="a7"/>
          </w:rPr>
          <w:fldChar w:fldCharType="separate"/>
        </w:r>
        <w:r w:rsidR="00002C0F">
          <w:rPr>
            <w:rStyle w:val="a7"/>
            <w:noProof/>
          </w:rPr>
          <w:t>15</w:t>
        </w:r>
        <w:r>
          <w:rPr>
            <w:rStyle w:val="a7"/>
          </w:rPr>
          <w:fldChar w:fldCharType="end"/>
        </w:r>
      </w:p>
      <w:p w:rsidR="00A21A68" w:rsidRDefault="00A21A68" w:rsidP="00AC2582">
        <w:pPr>
          <w:pStyle w:val="a5"/>
          <w:ind w:right="-110"/>
          <w:rPr>
            <w:lang w:val="uk-UA"/>
          </w:rPr>
        </w:pPr>
        <w:r>
          <w:rPr>
            <w:i/>
            <w:sz w:val="16"/>
            <w:szCs w:val="16"/>
            <w:lang w:val="uk-UA"/>
          </w:rPr>
          <w:t>Статистичний збірник</w:t>
        </w:r>
      </w:p>
      <w:p w:rsidR="00A21A68" w:rsidRPr="00AC2582" w:rsidRDefault="00A21A68" w:rsidP="00AC2582">
        <w:pPr>
          <w:pStyle w:val="a5"/>
          <w:ind w:right="-110"/>
          <w:rPr>
            <w:lang w:val="uk-UA"/>
          </w:rPr>
        </w:pPr>
        <w:r>
          <w:rPr>
            <w:sz w:val="16"/>
            <w:szCs w:val="16"/>
            <w:lang w:val="uk-UA"/>
          </w:rPr>
          <w:t>Житлове будівництво в Україні у</w:t>
        </w:r>
        <w:r w:rsidRPr="00E265E9">
          <w:rPr>
            <w:sz w:val="16"/>
            <w:szCs w:val="16"/>
          </w:rPr>
          <w:t xml:space="preserve"> 2007-2013</w:t>
        </w:r>
        <w:r>
          <w:rPr>
            <w:sz w:val="16"/>
            <w:szCs w:val="16"/>
            <w:lang w:val="uk-UA"/>
          </w:rPr>
          <w:t xml:space="preserve"> роках</w:t>
        </w:r>
      </w:p>
    </w:sdtContent>
  </w:sdt>
  <w:p w:rsidR="00A21A68" w:rsidRPr="00E265E9" w:rsidRDefault="00A21A68" w:rsidP="00175BB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68" w:rsidRPr="00326E75" w:rsidRDefault="00A21A68" w:rsidP="00A606F5">
    <w:pPr>
      <w:pStyle w:val="a5"/>
      <w:ind w:right="360" w:firstLine="360"/>
      <w:jc w:val="center"/>
      <w:rPr>
        <w:rStyle w:val="a7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3C1" w:rsidRDefault="00F123C1" w:rsidP="00A606F5">
      <w:r>
        <w:separator/>
      </w:r>
    </w:p>
  </w:footnote>
  <w:footnote w:type="continuationSeparator" w:id="0">
    <w:p w:rsidR="00F123C1" w:rsidRDefault="00F123C1" w:rsidP="00A60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68" w:rsidRPr="00465455" w:rsidRDefault="00A21A68" w:rsidP="00E80BED">
    <w:pPr>
      <w:pStyle w:val="a4"/>
      <w:pBdr>
        <w:bottom w:val="single" w:sz="4" w:space="1" w:color="auto"/>
      </w:pBdr>
      <w:jc w:val="center"/>
      <w:rPr>
        <w:lang w:val="uk-UA"/>
      </w:rPr>
    </w:pPr>
    <w:r>
      <w:rPr>
        <w:noProof/>
        <w:lang w:val="uk-UA" w:eastAsia="uk-UA"/>
      </w:rPr>
      <w:drawing>
        <wp:inline distT="0" distB="0" distL="0" distR="0" wp14:anchorId="4DA9332B" wp14:editId="6F1CCCFD">
          <wp:extent cx="274955" cy="17526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955" cy="17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65455">
      <w:rPr>
        <w:lang w:val="en-US"/>
      </w:rPr>
      <w:t>I</w:t>
    </w:r>
    <w:r>
      <w:rPr>
        <w:lang w:val="uk-UA"/>
      </w:rPr>
      <w:t>.</w:t>
    </w:r>
    <w:r w:rsidRPr="00465455">
      <w:rPr>
        <w:lang w:val="uk-UA"/>
      </w:rPr>
      <w:t xml:space="preserve"> </w:t>
    </w:r>
    <w:r w:rsidRPr="00287822">
      <w:rPr>
        <w:lang w:val="uk-UA"/>
      </w:rPr>
      <w:t xml:space="preserve">КАПІТАЛЬНІ   ІНВЕСТИЦІЇ   </w:t>
    </w:r>
    <w:r w:rsidRPr="00465455">
      <w:rPr>
        <w:lang w:val="uk-UA"/>
      </w:rPr>
      <w:t>У ЖИТЛОВЕ БУДІВНИЦТВО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68" w:rsidRDefault="00A21A68" w:rsidP="00444123">
    <w:pPr>
      <w:pStyle w:val="a4"/>
      <w:pBdr>
        <w:bottom w:val="single" w:sz="4" w:space="1" w:color="auto"/>
      </w:pBdr>
      <w:jc w:val="center"/>
      <w:rPr>
        <w:lang w:val="uk-UA"/>
      </w:rPr>
    </w:pPr>
  </w:p>
  <w:p w:rsidR="00A21A68" w:rsidRPr="00465455" w:rsidRDefault="00A21A68" w:rsidP="00444123">
    <w:pPr>
      <w:pStyle w:val="a4"/>
      <w:pBdr>
        <w:bottom w:val="single" w:sz="4" w:space="1" w:color="auto"/>
      </w:pBdr>
      <w:jc w:val="center"/>
      <w:rPr>
        <w:lang w:val="uk-UA"/>
      </w:rPr>
    </w:pPr>
    <w:r>
      <w:rPr>
        <w:noProof/>
        <w:lang w:val="uk-UA" w:eastAsia="uk-UA"/>
      </w:rPr>
      <w:drawing>
        <wp:inline distT="0" distB="0" distL="0" distR="0">
          <wp:extent cx="274955" cy="17526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955" cy="17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65455">
      <w:rPr>
        <w:lang w:val="en-US"/>
      </w:rPr>
      <w:t>I</w:t>
    </w:r>
    <w:r>
      <w:rPr>
        <w:lang w:val="uk-UA"/>
      </w:rPr>
      <w:t>.</w:t>
    </w:r>
    <w:r w:rsidRPr="00465455">
      <w:rPr>
        <w:lang w:val="uk-UA"/>
      </w:rPr>
      <w:t xml:space="preserve"> </w:t>
    </w:r>
    <w:r w:rsidRPr="00287822">
      <w:rPr>
        <w:lang w:val="uk-UA"/>
      </w:rPr>
      <w:t xml:space="preserve">КАПІТАЛЬНІ   ІНВЕСТИЦІЇ   </w:t>
    </w:r>
    <w:r w:rsidRPr="00465455">
      <w:rPr>
        <w:lang w:val="uk-UA"/>
      </w:rPr>
      <w:t>У ЖИТЛОВЕ БУДІВНИЦТВО</w:t>
    </w:r>
  </w:p>
  <w:p w:rsidR="00A21A68" w:rsidRPr="00B9774B" w:rsidRDefault="00A21A68" w:rsidP="00444123">
    <w:pPr>
      <w:pStyle w:val="a4"/>
      <w:rPr>
        <w:lang w:val="uk-UA"/>
      </w:rPr>
    </w:pPr>
  </w:p>
  <w:p w:rsidR="00A21A68" w:rsidRPr="00444123" w:rsidRDefault="00A21A68">
    <w:pPr>
      <w:pStyle w:val="a4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68" w:rsidRPr="00B9774B" w:rsidRDefault="00A21A68" w:rsidP="00E335DD">
    <w:pPr>
      <w:pStyle w:val="a4"/>
      <w:rPr>
        <w:lang w:val="uk-UA"/>
      </w:rPr>
    </w:pPr>
  </w:p>
  <w:p w:rsidR="00A21A68" w:rsidRPr="00E335DD" w:rsidRDefault="00A21A68">
    <w:pPr>
      <w:pStyle w:val="a4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66C16"/>
    <w:multiLevelType w:val="multilevel"/>
    <w:tmpl w:val="B8AE6D1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4B"/>
    <w:rsid w:val="00001F92"/>
    <w:rsid w:val="00002C0F"/>
    <w:rsid w:val="0002669E"/>
    <w:rsid w:val="00060CBF"/>
    <w:rsid w:val="00080304"/>
    <w:rsid w:val="000B7F17"/>
    <w:rsid w:val="000D481D"/>
    <w:rsid w:val="000E775A"/>
    <w:rsid w:val="00110750"/>
    <w:rsid w:val="00124589"/>
    <w:rsid w:val="001611D5"/>
    <w:rsid w:val="00175BBC"/>
    <w:rsid w:val="001773DB"/>
    <w:rsid w:val="001B4660"/>
    <w:rsid w:val="0023026C"/>
    <w:rsid w:val="002407C5"/>
    <w:rsid w:val="00261736"/>
    <w:rsid w:val="00272A0A"/>
    <w:rsid w:val="00287822"/>
    <w:rsid w:val="00290321"/>
    <w:rsid w:val="002954DA"/>
    <w:rsid w:val="002B6ABB"/>
    <w:rsid w:val="002C020A"/>
    <w:rsid w:val="002D3F72"/>
    <w:rsid w:val="002E28CD"/>
    <w:rsid w:val="00306B71"/>
    <w:rsid w:val="0033443A"/>
    <w:rsid w:val="003465D4"/>
    <w:rsid w:val="00346C3F"/>
    <w:rsid w:val="00354F34"/>
    <w:rsid w:val="003719D4"/>
    <w:rsid w:val="003C13D0"/>
    <w:rsid w:val="003D009B"/>
    <w:rsid w:val="003D1D4B"/>
    <w:rsid w:val="00444123"/>
    <w:rsid w:val="00493147"/>
    <w:rsid w:val="00495E25"/>
    <w:rsid w:val="0049783E"/>
    <w:rsid w:val="004A42E0"/>
    <w:rsid w:val="004B1576"/>
    <w:rsid w:val="004B5FA0"/>
    <w:rsid w:val="004F2DE5"/>
    <w:rsid w:val="004F6A87"/>
    <w:rsid w:val="00555AA8"/>
    <w:rsid w:val="005733CA"/>
    <w:rsid w:val="0059775B"/>
    <w:rsid w:val="005A21DA"/>
    <w:rsid w:val="005B63D7"/>
    <w:rsid w:val="005B674D"/>
    <w:rsid w:val="005E194F"/>
    <w:rsid w:val="005F6E25"/>
    <w:rsid w:val="0061582C"/>
    <w:rsid w:val="0064308D"/>
    <w:rsid w:val="00662B53"/>
    <w:rsid w:val="006A7A20"/>
    <w:rsid w:val="006C519C"/>
    <w:rsid w:val="006E27DF"/>
    <w:rsid w:val="007D10C3"/>
    <w:rsid w:val="007E09D3"/>
    <w:rsid w:val="00800059"/>
    <w:rsid w:val="008274F6"/>
    <w:rsid w:val="00834244"/>
    <w:rsid w:val="00854FC9"/>
    <w:rsid w:val="008766A6"/>
    <w:rsid w:val="008B55FA"/>
    <w:rsid w:val="008E29A3"/>
    <w:rsid w:val="008F1B13"/>
    <w:rsid w:val="0094022A"/>
    <w:rsid w:val="009604A7"/>
    <w:rsid w:val="0096720E"/>
    <w:rsid w:val="009A4646"/>
    <w:rsid w:val="009B6E22"/>
    <w:rsid w:val="00A16DE4"/>
    <w:rsid w:val="00A21A68"/>
    <w:rsid w:val="00A26B85"/>
    <w:rsid w:val="00A50980"/>
    <w:rsid w:val="00A606F5"/>
    <w:rsid w:val="00A63FBD"/>
    <w:rsid w:val="00A73FA8"/>
    <w:rsid w:val="00AC2582"/>
    <w:rsid w:val="00B14E19"/>
    <w:rsid w:val="00B17C40"/>
    <w:rsid w:val="00B5236F"/>
    <w:rsid w:val="00B63293"/>
    <w:rsid w:val="00B64AAC"/>
    <w:rsid w:val="00B9774B"/>
    <w:rsid w:val="00BB1EF6"/>
    <w:rsid w:val="00BB6DD3"/>
    <w:rsid w:val="00BF1CDA"/>
    <w:rsid w:val="00C03D61"/>
    <w:rsid w:val="00C20282"/>
    <w:rsid w:val="00C21EB3"/>
    <w:rsid w:val="00C22E84"/>
    <w:rsid w:val="00C54BF5"/>
    <w:rsid w:val="00CF10E1"/>
    <w:rsid w:val="00CF3A60"/>
    <w:rsid w:val="00D23F38"/>
    <w:rsid w:val="00D37E6B"/>
    <w:rsid w:val="00D64380"/>
    <w:rsid w:val="00DB1758"/>
    <w:rsid w:val="00DE4F1F"/>
    <w:rsid w:val="00E142B2"/>
    <w:rsid w:val="00E14A0F"/>
    <w:rsid w:val="00E15C84"/>
    <w:rsid w:val="00E23B07"/>
    <w:rsid w:val="00E265E9"/>
    <w:rsid w:val="00E335DD"/>
    <w:rsid w:val="00E70FB3"/>
    <w:rsid w:val="00E7435D"/>
    <w:rsid w:val="00E779DD"/>
    <w:rsid w:val="00E80BED"/>
    <w:rsid w:val="00EB44CF"/>
    <w:rsid w:val="00EC5EE5"/>
    <w:rsid w:val="00EF51FD"/>
    <w:rsid w:val="00F03CCC"/>
    <w:rsid w:val="00F043AE"/>
    <w:rsid w:val="00F05083"/>
    <w:rsid w:val="00F123C1"/>
    <w:rsid w:val="00F2054E"/>
    <w:rsid w:val="00F25E7A"/>
    <w:rsid w:val="00F3253C"/>
    <w:rsid w:val="00F45525"/>
    <w:rsid w:val="00F85577"/>
    <w:rsid w:val="00F92D4B"/>
    <w:rsid w:val="00FB4521"/>
    <w:rsid w:val="00FC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46D30B-EEA4-461D-93EC-81743A2B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4B"/>
    <w:rPr>
      <w:lang w:val="ru-RU" w:eastAsia="ru-RU"/>
    </w:rPr>
  </w:style>
  <w:style w:type="paragraph" w:styleId="1">
    <w:name w:val="heading 1"/>
    <w:basedOn w:val="a"/>
    <w:next w:val="a"/>
    <w:qFormat/>
    <w:rsid w:val="00B9774B"/>
    <w:pPr>
      <w:keepNext/>
      <w:jc w:val="center"/>
      <w:outlineLvl w:val="0"/>
    </w:pPr>
    <w:rPr>
      <w:rFonts w:ascii="Times New Roman CYR" w:hAnsi="Times New Roman CYR"/>
      <w:b/>
      <w:sz w:val="28"/>
      <w:lang w:val="uk-UA"/>
    </w:rPr>
  </w:style>
  <w:style w:type="paragraph" w:styleId="4">
    <w:name w:val="heading 4"/>
    <w:basedOn w:val="a"/>
    <w:next w:val="a"/>
    <w:qFormat/>
    <w:rsid w:val="00B9774B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7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9774B"/>
    <w:pPr>
      <w:tabs>
        <w:tab w:val="center" w:pos="4819"/>
        <w:tab w:val="right" w:pos="9639"/>
      </w:tabs>
    </w:pPr>
  </w:style>
  <w:style w:type="paragraph" w:styleId="a5">
    <w:name w:val="footer"/>
    <w:basedOn w:val="a"/>
    <w:link w:val="a6"/>
    <w:rsid w:val="00B9774B"/>
    <w:pPr>
      <w:tabs>
        <w:tab w:val="center" w:pos="4819"/>
        <w:tab w:val="right" w:pos="9639"/>
      </w:tabs>
    </w:pPr>
  </w:style>
  <w:style w:type="character" w:styleId="a7">
    <w:name w:val="page number"/>
    <w:basedOn w:val="a0"/>
    <w:rsid w:val="00B9774B"/>
  </w:style>
  <w:style w:type="paragraph" w:customStyle="1" w:styleId="10">
    <w:name w:val="Обычный1"/>
    <w:rsid w:val="00B9774B"/>
    <w:rPr>
      <w:snapToGrid w:val="0"/>
      <w:lang w:eastAsia="ru-RU"/>
    </w:rPr>
  </w:style>
  <w:style w:type="paragraph" w:customStyle="1" w:styleId="bezotst9">
    <w:name w:val="bez otst 9"/>
    <w:basedOn w:val="a"/>
    <w:rsid w:val="00B9774B"/>
    <w:pPr>
      <w:spacing w:before="120"/>
      <w:jc w:val="both"/>
    </w:pPr>
    <w:rPr>
      <w:sz w:val="16"/>
      <w:szCs w:val="24"/>
      <w:lang w:val="uk-UA"/>
    </w:rPr>
  </w:style>
  <w:style w:type="character" w:customStyle="1" w:styleId="shorttext">
    <w:name w:val="short_text"/>
    <w:basedOn w:val="a0"/>
    <w:rsid w:val="005B674D"/>
  </w:style>
  <w:style w:type="character" w:customStyle="1" w:styleId="hps">
    <w:name w:val="hps"/>
    <w:basedOn w:val="a0"/>
    <w:rsid w:val="005B674D"/>
  </w:style>
  <w:style w:type="paragraph" w:customStyle="1" w:styleId="2">
    <w:name w:val="Обычный2"/>
    <w:rsid w:val="003C13D0"/>
    <w:rPr>
      <w:snapToGrid w:val="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B5FA0"/>
    <w:rPr>
      <w:lang w:val="ru-RU" w:eastAsia="ru-RU"/>
    </w:rPr>
  </w:style>
  <w:style w:type="paragraph" w:styleId="a8">
    <w:name w:val="Balloon Text"/>
    <w:basedOn w:val="a"/>
    <w:link w:val="a9"/>
    <w:rsid w:val="00306B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306B7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61285500747384"/>
          <c:y val="0.12322274881516587"/>
          <c:w val="0.79222720478325859"/>
          <c:h val="0.5900473933649289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загальна площа прийнятого в експлуатацію житла, тис.кв.м / the total area of housing put into service, thsd.sq.m of total size</c:v>
                </c:pt>
              </c:strCache>
            </c:strRef>
          </c:tx>
          <c:spPr>
            <a:gradFill rotWithShape="0">
              <a:gsLst>
                <a:gs pos="0">
                  <a:srgbClr xmlns:mc="http://schemas.openxmlformats.org/markup-compatibility/2006" xmlns:a14="http://schemas.microsoft.com/office/drawing/2010/main" val="FF00FF" mc:Ignorable="a14" a14:legacySpreadsheetColorIndex="14"/>
                </a:gs>
                <a:gs pos="50000">
                  <a:srgbClr xmlns:mc="http://schemas.openxmlformats.org/markup-compatibility/2006" xmlns:a14="http://schemas.microsoft.com/office/drawing/2010/main" val="000000" mc:Ignorable="a14" a14:legacySpreadsheetColorIndex="14">
                    <a:gamma/>
                    <a:shade val="46275"/>
                    <a:invGamma/>
                  </a:srgbClr>
                </a:gs>
                <a:gs pos="100000">
                  <a:srgbClr xmlns:mc="http://schemas.openxmlformats.org/markup-compatibility/2006" xmlns:a14="http://schemas.microsoft.com/office/drawing/2010/main" val="FF00FF" mc:Ignorable="a14" a14:legacySpreadsheetColorIndex="14"/>
                </a:gs>
              </a:gsLst>
              <a:lin ang="5400000" scaled="1"/>
            </a:gradFill>
            <a:ln w="1268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9028613361984884E-3"/>
                  <c:y val="-6.0824341401769224E-3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Times New Roman" panose="02020603050405020304" pitchFamily="18" charset="0"/>
                        <a:ea typeface="Arial"/>
                        <a:cs typeface="Arial"/>
                      </a:defRPr>
                    </a:pPr>
                    <a:r>
                      <a:rPr lang="en-US" sz="1000" baseline="0">
                        <a:latin typeface="Times New Roman" panose="02020603050405020304" pitchFamily="18" charset="0"/>
                      </a:rPr>
                      <a:t>9410</a:t>
                    </a:r>
                  </a:p>
                </c:rich>
              </c:tx>
              <c:spPr>
                <a:noFill/>
                <a:ln w="25367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3867066531688121E-3"/>
                  <c:y val="-1.2002449140935401E-4"/>
                </c:manualLayout>
              </c:layout>
              <c:spPr>
                <a:noFill/>
                <a:ln w="25367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8033598710814918E-3"/>
                  <c:y val="5.2703119521855524E-3"/>
                </c:manualLayout>
              </c:layout>
              <c:spPr>
                <a:noFill/>
                <a:ln w="25367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48131539611360241"/>
                  <c:y val="2.6066350710900472E-2"/>
                </c:manualLayout>
              </c:layout>
              <c:spPr>
                <a:noFill/>
                <a:ln w="25367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54559043348281011"/>
                  <c:y val="0.17772511848341233"/>
                </c:manualLayout>
              </c:layout>
              <c:spPr>
                <a:noFill/>
                <a:ln w="25367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59940209267563527"/>
                  <c:y val="0.32227488151658767"/>
                </c:manualLayout>
              </c:layout>
              <c:spPr>
                <a:noFill/>
                <a:ln w="25367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6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Sheet1!$B$1:$I$1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3"/>
                <c:pt idx="0">
                  <c:v>9410</c:v>
                </c:pt>
                <c:pt idx="1">
                  <c:v>10750</c:v>
                </c:pt>
                <c:pt idx="2">
                  <c:v>11217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90"/>
        <c:axId val="280528032"/>
        <c:axId val="280529152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індекси капітальних інвестицій у житлове будівництво, у % до попереднього року / indices for fixed capital investment in residential construction, in % to previos year</c:v>
                </c:pt>
              </c:strCache>
            </c:strRef>
          </c:tx>
          <c:spPr>
            <a:ln w="25367">
              <a:solidFill>
                <a:srgbClr val="00008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5536122640306043E-2"/>
                  <c:y val="5.8898096202956191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593465794407099E-2"/>
                  <c:y val="4.0105213776924525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7776214669169899E-2"/>
                  <c:y val="2.4973339792504823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49775784753363228"/>
                  <c:y val="7.8199052132701424E-2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59940209267563527"/>
                  <c:y val="0.27251184834123221"/>
                </c:manualLayout>
              </c:layout>
              <c:spPr>
                <a:solidFill>
                  <a:srgbClr val="FFFFFF"/>
                </a:solidFill>
                <a:ln w="3171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99" b="0" i="0" u="none" strike="noStrike" baseline="0">
                      <a:solidFill>
                        <a:srgbClr val="000000"/>
                      </a:solidFill>
                      <a:latin typeface="Times New Roman" panose="02020603050405020304" pitchFamily="18" charset="0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FFFFFF"/>
              </a:solidFill>
              <a:ln w="3171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99" b="0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Sheet1!$B$1:$I$1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3"/>
                <c:pt idx="0">
                  <c:v>85.6</c:v>
                </c:pt>
                <c:pt idx="1">
                  <c:v>117.1</c:v>
                </c:pt>
                <c:pt idx="2">
                  <c:v>104.1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0529712"/>
        <c:axId val="280532512"/>
      </c:lineChart>
      <c:catAx>
        <c:axId val="280528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Arial"/>
              </a:defRPr>
            </a:pPr>
            <a:endParaRPr lang="uk-UA"/>
          </a:p>
        </c:txPr>
        <c:crossAx val="280529152"/>
        <c:crossesAt val="1000"/>
        <c:auto val="0"/>
        <c:lblAlgn val="ctr"/>
        <c:lblOffset val="100"/>
        <c:tickLblSkip val="1"/>
        <c:tickMarkSkip val="1"/>
        <c:noMultiLvlLbl val="0"/>
      </c:catAx>
      <c:valAx>
        <c:axId val="280529152"/>
        <c:scaling>
          <c:orientation val="minMax"/>
          <c:max val="13000"/>
          <c:min val="300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9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uk-UA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%</a:t>
                </a:r>
              </a:p>
            </c:rich>
          </c:tx>
          <c:layout>
            <c:manualLayout>
              <c:xMode val="edge"/>
              <c:yMode val="edge"/>
              <c:x val="0.92626104826111122"/>
              <c:y val="1.6950217288412717E-2"/>
            </c:manualLayout>
          </c:layout>
          <c:overlay val="0"/>
          <c:spPr>
            <a:noFill/>
            <a:ln w="2536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Arial"/>
              </a:defRPr>
            </a:pPr>
            <a:endParaRPr lang="uk-UA"/>
          </a:p>
        </c:txPr>
        <c:crossAx val="280528032"/>
        <c:crosses val="autoZero"/>
        <c:crossBetween val="between"/>
        <c:majorUnit val="2000"/>
        <c:minorUnit val="2000"/>
      </c:valAx>
      <c:catAx>
        <c:axId val="2805297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80532512"/>
        <c:crossesAt val="0"/>
        <c:auto val="0"/>
        <c:lblAlgn val="ctr"/>
        <c:lblOffset val="100"/>
        <c:noMultiLvlLbl val="0"/>
      </c:catAx>
      <c:valAx>
        <c:axId val="280532512"/>
        <c:scaling>
          <c:orientation val="minMax"/>
          <c:max val="160"/>
          <c:min val="60"/>
        </c:scaling>
        <c:delete val="0"/>
        <c:axPos val="r"/>
        <c:numFmt formatCode="0" sourceLinked="0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Arial"/>
              </a:defRPr>
            </a:pPr>
            <a:endParaRPr lang="uk-UA"/>
          </a:p>
        </c:txPr>
        <c:crossAx val="280529712"/>
        <c:crosses val="max"/>
        <c:crossBetween val="between"/>
        <c:majorUnit val="20"/>
        <c:minorUnit val="20"/>
      </c:valAx>
      <c:spPr>
        <a:noFill/>
        <a:ln w="25367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Arial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Arial"/>
              </a:defRPr>
            </a:pPr>
            <a:endParaRPr lang="uk-UA"/>
          </a:p>
        </c:txPr>
      </c:legendEntry>
      <c:layout>
        <c:manualLayout>
          <c:xMode val="edge"/>
          <c:yMode val="edge"/>
          <c:x val="4.6162395223489625E-2"/>
          <c:y val="0.84123222748815163"/>
          <c:w val="0.92716128142488785"/>
          <c:h val="0.12209590866843203"/>
        </c:manualLayout>
      </c:layout>
      <c:overlay val="0"/>
      <c:spPr>
        <a:solidFill>
          <a:srgbClr val="FFFFFF"/>
        </a:solidFill>
        <a:ln w="6350">
          <a:solidFill>
            <a:srgbClr val="000000"/>
          </a:solidFill>
          <a:prstDash val="solid"/>
        </a:ln>
      </c:spPr>
      <c:txPr>
        <a:bodyPr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50396399558524729"/>
          <c:y val="1.7665007226593865E-2"/>
          <c:w val="0.46085526084870893"/>
          <c:h val="0.9472727985443123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0070C0"/>
            </a:solidFill>
            <a:ln w="9537" cap="flat" cmpd="sng" algn="ctr">
              <a:solidFill>
                <a:srgbClr val="0070C0"/>
              </a:solidFill>
              <a:round/>
            </a:ln>
            <a:effectLst/>
          </c:spPr>
          <c:invertIfNegative val="0"/>
          <c:dPt>
            <c:idx val="10"/>
            <c:invertIfNegative val="0"/>
            <c:bubble3D val="0"/>
            <c:spPr>
              <a:pattFill prst="smCheck">
                <a:fgClr>
                  <a:srgbClr val="FF0000"/>
                </a:fgClr>
                <a:bgClr>
                  <a:schemeClr val="bg1"/>
                </a:bgClr>
              </a:pattFill>
              <a:ln w="9537" cap="flat" cmpd="sng" algn="ctr">
                <a:solidFill>
                  <a:srgbClr val="0070C0"/>
                </a:solidFill>
                <a:round/>
              </a:ln>
              <a:effectLst/>
            </c:spPr>
          </c:dPt>
          <c:dLbls>
            <c:spPr>
              <a:noFill/>
              <a:ln w="25433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1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Лист1!$A$1:$A$28</c:f>
              <c:strCache>
                <c:ptCount val="28"/>
                <c:pt idx="0">
                  <c:v>м.Київ /city Kyiv</c:v>
                </c:pt>
                <c:pt idx="1">
                  <c:v>АР Крим / Autonomous Republic of Crimea</c:v>
                </c:pt>
                <c:pt idx="2">
                  <c:v>Полтавська / Poltava</c:v>
                </c:pt>
                <c:pt idx="3">
                  <c:v>Вінницька / Vinnytsya</c:v>
                </c:pt>
                <c:pt idx="4">
                  <c:v>Хмельницька / Khmelnytskiy</c:v>
                </c:pt>
                <c:pt idx="5">
                  <c:v>Рівненська / Rivne</c:v>
                </c:pt>
                <c:pt idx="6">
                  <c:v>Дніпропетровська / Dnipropetrovsk</c:v>
                </c:pt>
                <c:pt idx="7">
                  <c:v>Житомирська / Zhytomyr</c:v>
                </c:pt>
                <c:pt idx="8">
                  <c:v>Івано-Франківська / Ivano-Frankivsk</c:v>
                </c:pt>
                <c:pt idx="9">
                  <c:v>м.Севастополь / city Sevastopol</c:v>
                </c:pt>
                <c:pt idx="10">
                  <c:v>Україна / Ukraine</c:v>
                </c:pt>
                <c:pt idx="11">
                  <c:v>Київська / Kyiv</c:v>
                </c:pt>
                <c:pt idx="12">
                  <c:v>Луганська / Luhansk</c:v>
                </c:pt>
                <c:pt idx="13">
                  <c:v>Миколаївська / Mykolayiv</c:v>
                </c:pt>
                <c:pt idx="14">
                  <c:v>Донецька / Donetsk</c:v>
                </c:pt>
                <c:pt idx="15">
                  <c:v>Харківська / Kharkiv</c:v>
                </c:pt>
                <c:pt idx="16">
                  <c:v>Закарпатська / Zakarpattya</c:v>
                </c:pt>
                <c:pt idx="17">
                  <c:v>Черкаська / Cherkasy</c:v>
                </c:pt>
                <c:pt idx="18">
                  <c:v>Львівська / Lviv</c:v>
                </c:pt>
                <c:pt idx="19">
                  <c:v>Чернівецька / Chernivtsi</c:v>
                </c:pt>
                <c:pt idx="20">
                  <c:v>Чернігівська / Chernihiv</c:v>
                </c:pt>
                <c:pt idx="21">
                  <c:v>Кіровоградська / Kirovohrad</c:v>
                </c:pt>
                <c:pt idx="22">
                  <c:v>Херсонська / Kherson</c:v>
                </c:pt>
                <c:pt idx="23">
                  <c:v>Тернопільська / Ternopil</c:v>
                </c:pt>
                <c:pt idx="24">
                  <c:v>Волинська / Volyn</c:v>
                </c:pt>
                <c:pt idx="25">
                  <c:v>Одеська / Odesa</c:v>
                </c:pt>
                <c:pt idx="26">
                  <c:v>Сумська / Sumy</c:v>
                </c:pt>
                <c:pt idx="27">
                  <c:v>Запорізька / Zaporizhzhya</c:v>
                </c:pt>
              </c:strCache>
            </c:strRef>
          </c:cat>
          <c:val>
            <c:numRef>
              <c:f>Лист1!$B$1:$B$28</c:f>
              <c:numCache>
                <c:formatCode>0.0</c:formatCode>
                <c:ptCount val="28"/>
                <c:pt idx="0">
                  <c:v>139.30000000000001</c:v>
                </c:pt>
                <c:pt idx="1">
                  <c:v>125.3</c:v>
                </c:pt>
                <c:pt idx="2">
                  <c:v>116.8</c:v>
                </c:pt>
                <c:pt idx="3">
                  <c:v>113.8</c:v>
                </c:pt>
                <c:pt idx="4">
                  <c:v>109.6</c:v>
                </c:pt>
                <c:pt idx="5">
                  <c:v>108.4</c:v>
                </c:pt>
                <c:pt idx="6">
                  <c:v>108.3</c:v>
                </c:pt>
                <c:pt idx="7">
                  <c:v>105.5</c:v>
                </c:pt>
                <c:pt idx="8">
                  <c:v>104.5</c:v>
                </c:pt>
                <c:pt idx="9">
                  <c:v>104.1</c:v>
                </c:pt>
                <c:pt idx="10">
                  <c:v>104.1</c:v>
                </c:pt>
                <c:pt idx="11">
                  <c:v>101.4</c:v>
                </c:pt>
                <c:pt idx="12">
                  <c:v>100.1</c:v>
                </c:pt>
                <c:pt idx="13">
                  <c:v>98.3</c:v>
                </c:pt>
                <c:pt idx="14">
                  <c:v>96.5</c:v>
                </c:pt>
                <c:pt idx="15">
                  <c:v>95.7</c:v>
                </c:pt>
                <c:pt idx="16">
                  <c:v>95.7</c:v>
                </c:pt>
                <c:pt idx="17">
                  <c:v>91.9</c:v>
                </c:pt>
                <c:pt idx="18">
                  <c:v>91.5</c:v>
                </c:pt>
                <c:pt idx="19">
                  <c:v>91.1</c:v>
                </c:pt>
                <c:pt idx="20">
                  <c:v>90</c:v>
                </c:pt>
                <c:pt idx="21">
                  <c:v>89</c:v>
                </c:pt>
                <c:pt idx="22">
                  <c:v>87.1</c:v>
                </c:pt>
                <c:pt idx="23">
                  <c:v>86.9</c:v>
                </c:pt>
                <c:pt idx="24">
                  <c:v>74.7</c:v>
                </c:pt>
                <c:pt idx="25">
                  <c:v>67</c:v>
                </c:pt>
                <c:pt idx="26">
                  <c:v>65.099999999999994</c:v>
                </c:pt>
                <c:pt idx="27">
                  <c:v>59.4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80530832"/>
        <c:axId val="280530272"/>
      </c:barChart>
      <c:catAx>
        <c:axId val="280530832"/>
        <c:scaling>
          <c:orientation val="minMax"/>
        </c:scaling>
        <c:delete val="0"/>
        <c:axPos val="l"/>
        <c:numFmt formatCode="@" sourceLinked="0"/>
        <c:majorTickMark val="none"/>
        <c:minorTickMark val="none"/>
        <c:tickLblPos val="nextTo"/>
        <c:spPr>
          <a:noFill/>
          <a:ln w="9537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1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uk-UA"/>
          </a:p>
        </c:txPr>
        <c:crossAx val="280530272"/>
        <c:crossesAt val="0"/>
        <c:auto val="0"/>
        <c:lblAlgn val="ctr"/>
        <c:lblOffset val="100"/>
        <c:noMultiLvlLbl val="0"/>
      </c:catAx>
      <c:valAx>
        <c:axId val="280530272"/>
        <c:scaling>
          <c:orientation val="minMax"/>
          <c:max val="150"/>
          <c:min val="0"/>
        </c:scaling>
        <c:delete val="0"/>
        <c:axPos val="b"/>
        <c:numFmt formatCode="General" sourceLinked="0"/>
        <c:majorTickMark val="cross"/>
        <c:minorTickMark val="none"/>
        <c:tickLblPos val="nextTo"/>
        <c:spPr>
          <a:ln w="6358">
            <a:solidFill>
              <a:sysClr val="windowText" lastClr="000000"/>
            </a:solidFill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1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uk-UA"/>
          </a:p>
        </c:txPr>
        <c:crossAx val="280530832"/>
        <c:crosses val="autoZero"/>
        <c:crossBetween val="between"/>
        <c:majorUnit val="30"/>
        <c:minorUnit val="4"/>
      </c:valAx>
      <c:spPr>
        <a:noFill/>
        <a:ln w="25433">
          <a:noFill/>
        </a:ln>
      </c:spPr>
    </c:plotArea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0.03138</cdr:x>
      <cdr:y>0.02956</cdr:y>
    </cdr:from>
    <cdr:to>
      <cdr:x>0.24792</cdr:x>
      <cdr:y>0.08868</cdr:y>
    </cdr:to>
    <cdr:sp macro="" textlink="">
      <cdr:nvSpPr>
        <cdr:cNvPr id="8" name="Прямоугольник 7"/>
        <cdr:cNvSpPr/>
      </cdr:nvSpPr>
      <cdr:spPr>
        <a:xfrm xmlns:a="http://schemas.openxmlformats.org/drawingml/2006/main">
          <a:off x="194554" y="116731"/>
          <a:ext cx="1342417" cy="233464"/>
        </a:xfrm>
        <a:prstGeom xmlns:a="http://schemas.openxmlformats.org/drawingml/2006/main" prst="rect">
          <a:avLst/>
        </a:prstGeom>
        <a:ln xmlns:a="http://schemas.openxmlformats.org/drawingml/2006/main">
          <a:noFill/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uk-UA" sz="1000" i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тис.м</a:t>
          </a:r>
          <a:r>
            <a:rPr lang="uk-UA" sz="1000" i="1" baseline="30000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</a:t>
          </a:r>
          <a:r>
            <a:rPr lang="uk-UA" sz="1000" i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/thsd.m</a:t>
          </a:r>
          <a:r>
            <a:rPr lang="uk-UA" sz="1000" i="1" baseline="30000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</a:t>
          </a:r>
          <a:endParaRPr lang="uk-UA" sz="1000">
            <a:solidFill>
              <a:schemeClr val="dk1"/>
            </a:solidFill>
            <a:effectLst/>
            <a:latin typeface="Times New Roman" panose="02020603050405020304" pitchFamily="18" charset="0"/>
            <a:ea typeface="+mn-ea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48D89-5E82-400D-8B29-190D8E71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8</Pages>
  <Words>4677</Words>
  <Characters>2666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L.Nagnibega</cp:lastModifiedBy>
  <cp:revision>30</cp:revision>
  <cp:lastPrinted>2014-10-03T06:50:00Z</cp:lastPrinted>
  <dcterms:created xsi:type="dcterms:W3CDTF">2014-06-27T12:03:00Z</dcterms:created>
  <dcterms:modified xsi:type="dcterms:W3CDTF">2014-10-14T11:39:00Z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-2083674983</vt:i4>
  </property>
  <property fmtid="{D5CDD505-2E9C-101B-9397-08002B2CF9AE}" pid="3" name="_NewReviewCycle">
    <vt:lpwstr/>
  </property>
  <property fmtid="{D5CDD505-2E9C-101B-9397-08002B2CF9AE}" pid="4" name="_EmailSubject">
    <vt:lpwstr>збірник</vt:lpwstr>
  </property>
  <property fmtid="{D5CDD505-2E9C-101B-9397-08002B2CF9AE}" pid="5" name="_AuthorEmail">
    <vt:lpwstr>petrik@ukrstat.ua</vt:lpwstr>
  </property>
  <property fmtid="{D5CDD505-2E9C-101B-9397-08002B2CF9AE}" pid="6" name="_AuthorEmailDisplayName">
    <vt:lpwstr>Olena Petrik</vt:lpwstr>
  </property>
  <property fmtid="{D5CDD505-2E9C-101B-9397-08002B2CF9AE}" pid="7" name="_PreviousAdHocReviewCycleID">
    <vt:i4>1460928249</vt:i4>
  </property>
</Properties>
</file>